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60" w:after="0" w:line="240" w:lineRule="auto"/>
        <w:jc w:val="center"/>
        <w:textAlignment w:val="auto"/>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BAB I</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
          <w:color w:val="000000" w:themeColor="text1"/>
          <w:lang w:val="zh-CN"/>
          <w14:textFill>
            <w14:solidFill>
              <w14:schemeClr w14:val="tx1"/>
            </w14:solidFill>
          </w14:textFill>
        </w:rPr>
      </w:pPr>
      <w:r>
        <w:rPr>
          <w:rFonts w:ascii="Arial" w:hAnsi="Arial" w:cs="Arial"/>
          <w:b/>
          <w:color w:val="000000" w:themeColor="text1"/>
          <w14:textFill>
            <w14:solidFill>
              <w14:schemeClr w14:val="tx1"/>
            </w14:solidFill>
          </w14:textFill>
        </w:rPr>
        <w:t>PE</w:t>
      </w:r>
      <w:r>
        <w:rPr>
          <w:rFonts w:hint="default" w:ascii="Arial" w:hAnsi="Arial" w:cs="Arial"/>
          <w:b/>
          <w:color w:val="000000" w:themeColor="text1"/>
          <w:lang w:val="zh-CN"/>
          <w14:textFill>
            <w14:solidFill>
              <w14:schemeClr w14:val="tx1"/>
            </w14:solidFill>
          </w14:textFill>
        </w:rPr>
        <w:t>LAKSANAAN PROGRAM DAN KEGIATAN</w:t>
      </w: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
          <w:color w:val="000000" w:themeColor="text1"/>
          <w:lang w:val="zh-CN"/>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hint="default" w:ascii="Arial" w:hAnsi="Arial" w:cs="Arial"/>
          <w:b/>
          <w:color w:val="000000" w:themeColor="text1"/>
          <w:lang w:val="zh-CN"/>
          <w14:textFill>
            <w14:solidFill>
              <w14:schemeClr w14:val="tx1"/>
            </w14:solidFill>
          </w14:textFill>
        </w:rPr>
      </w:pPr>
      <w:r>
        <w:rPr>
          <w:rFonts w:hint="default" w:ascii="Arial" w:hAnsi="Arial" w:cs="Arial"/>
          <w:b/>
          <w:color w:val="000000" w:themeColor="text1"/>
          <w:lang w:val="zh-CN"/>
          <w14:textFill>
            <w14:solidFill>
              <w14:schemeClr w14:val="tx1"/>
            </w14:solidFill>
          </w14:textFill>
        </w:rPr>
        <w:t>BIRO ADMINISTRASI PENGADAAN DAN PENGELOLAAN BARANG MILIK DAERAH</w:t>
      </w:r>
    </w:p>
    <w:p>
      <w:pPr>
        <w:spacing w:before="240" w:after="60"/>
        <w:jc w:val="both"/>
        <w:rPr>
          <w:rFonts w:hint="default" w:ascii="Arial" w:hAnsi="Arial" w:cs="Arial"/>
          <w:b/>
          <w:color w:val="000000" w:themeColor="text1"/>
          <w:sz w:val="12"/>
          <w:szCs w:val="12"/>
          <w:lang w:val="zh-CN"/>
          <w14:textFill>
            <w14:solidFill>
              <w14:schemeClr w14:val="tx1"/>
            </w14:solidFill>
          </w14:textFill>
        </w:rPr>
      </w:pPr>
    </w:p>
    <w:p>
      <w:pPr>
        <w:spacing w:before="60" w:after="60"/>
        <w:ind w:firstLine="567"/>
        <w:jc w:val="both"/>
        <w:rPr>
          <w:rFonts w:hint="default" w:ascii="Arial" w:hAnsi="Arial" w:cs="Arial"/>
          <w:color w:val="000000" w:themeColor="text1"/>
          <w:lang w:val="zh-CN"/>
          <w14:textFill>
            <w14:solidFill>
              <w14:schemeClr w14:val="tx1"/>
            </w14:solidFill>
          </w14:textFill>
        </w:rPr>
      </w:pPr>
      <w:r>
        <w:rPr>
          <w:rFonts w:hint="default" w:ascii="Arial" w:hAnsi="Arial" w:cs="Arial"/>
          <w:color w:val="000000" w:themeColor="text1"/>
          <w:lang w:val="zh-CN"/>
          <w14:textFill>
            <w14:solidFill>
              <w14:schemeClr w14:val="tx1"/>
            </w14:solidFill>
          </w14:textFill>
        </w:rPr>
        <w:t xml:space="preserve">Biro Pengadaan dan Pengelolaan Barang Milik Daerah yang awalnya Biro Pengelolaan Aset Daerah </w:t>
      </w:r>
      <w:r>
        <w:rPr>
          <w:rFonts w:ascii="Arial" w:hAnsi="Arial" w:cs="Arial"/>
          <w:color w:val="000000" w:themeColor="text1"/>
          <w14:textFill>
            <w14:solidFill>
              <w14:schemeClr w14:val="tx1"/>
            </w14:solidFill>
          </w14:textFill>
        </w:rPr>
        <w:t xml:space="preserve">dibentuk </w:t>
      </w:r>
      <w:r>
        <w:rPr>
          <w:rFonts w:hint="default" w:ascii="Arial" w:hAnsi="Arial" w:cs="Arial"/>
          <w:color w:val="000000" w:themeColor="text1"/>
          <w:lang w:val="zh-CN"/>
          <w14:textFill>
            <w14:solidFill>
              <w14:schemeClr w14:val="tx1"/>
            </w14:solidFill>
          </w14:textFill>
        </w:rPr>
        <w:t>pada tahun 2012</w:t>
      </w:r>
      <w:r>
        <w:rPr>
          <w:rFonts w:ascii="Arial" w:hAnsi="Arial" w:cs="Arial"/>
          <w:color w:val="000000" w:themeColor="text1"/>
          <w14:textFill>
            <w14:solidFill>
              <w14:schemeClr w14:val="tx1"/>
            </w14:solidFill>
          </w14:textFill>
        </w:rPr>
        <w:t>,</w:t>
      </w:r>
      <w:r>
        <w:rPr>
          <w:rFonts w:hint="default" w:ascii="Arial" w:hAnsi="Arial" w:cs="Arial"/>
          <w:color w:val="000000" w:themeColor="text1"/>
          <w:lang w:val="zh-CN"/>
          <w14:textFill>
            <w14:solidFill>
              <w14:schemeClr w14:val="tx1"/>
            </w14:solidFill>
          </w14:textFill>
        </w:rPr>
        <w:t xml:space="preserve"> </w:t>
      </w:r>
      <w:r>
        <w:rPr>
          <w:rFonts w:hint="default" w:ascii="Arial" w:hAnsi="Arial" w:cs="Arial"/>
          <w:sz w:val="24"/>
          <w:szCs w:val="24"/>
          <w:lang w:val="id-ID"/>
        </w:rPr>
        <w:t xml:space="preserve">sebagai </w:t>
      </w:r>
      <w:r>
        <w:rPr>
          <w:rFonts w:hint="default" w:ascii="Arial" w:hAnsi="Arial" w:cs="Arial"/>
          <w:i/>
          <w:sz w:val="24"/>
          <w:szCs w:val="24"/>
          <w:lang w:val="id-ID"/>
        </w:rPr>
        <w:t>leading sector</w:t>
      </w:r>
      <w:r>
        <w:rPr>
          <w:rFonts w:hint="default" w:ascii="Arial" w:hAnsi="Arial" w:cs="Arial"/>
          <w:sz w:val="24"/>
          <w:szCs w:val="24"/>
          <w:lang w:val="id-ID"/>
        </w:rPr>
        <w:t xml:space="preserve"> yang akan mengkoordinir pengelolaan aset pada SKPD Prov</w:t>
      </w:r>
      <w:r>
        <w:rPr>
          <w:rFonts w:hint="default" w:ascii="Arial" w:hAnsi="Arial" w:cs="Arial"/>
          <w:sz w:val="24"/>
          <w:szCs w:val="24"/>
        </w:rPr>
        <w:t xml:space="preserve">insi </w:t>
      </w:r>
      <w:r>
        <w:rPr>
          <w:rFonts w:hint="default" w:ascii="Arial" w:hAnsi="Arial" w:cs="Arial"/>
          <w:sz w:val="24"/>
          <w:szCs w:val="24"/>
          <w:lang w:val="id-ID"/>
        </w:rPr>
        <w:t>Sumatera Barat</w:t>
      </w:r>
      <w:r>
        <w:rPr>
          <w:rFonts w:hint="default" w:ascii="Arial" w:hAnsi="Arial" w:cs="Arial"/>
          <w:sz w:val="24"/>
          <w:szCs w:val="24"/>
          <w:lang w:val="zh-CN"/>
        </w:rPr>
        <w:t xml:space="preserve">. </w:t>
      </w:r>
      <w:r>
        <w:rPr>
          <w:rFonts w:hint="default" w:ascii="Arial" w:hAnsi="Arial" w:cs="Arial"/>
          <w:sz w:val="24"/>
          <w:szCs w:val="24"/>
        </w:rPr>
        <w:t>T</w:t>
      </w:r>
      <w:r>
        <w:rPr>
          <w:rFonts w:hint="default" w:ascii="Arial" w:hAnsi="Arial" w:cs="Arial"/>
          <w:sz w:val="24"/>
          <w:szCs w:val="24"/>
          <w:lang w:val="id-ID"/>
        </w:rPr>
        <w:t>ahun 201</w:t>
      </w:r>
      <w:r>
        <w:rPr>
          <w:rFonts w:hint="default" w:ascii="Arial" w:hAnsi="Arial" w:cs="Arial"/>
          <w:sz w:val="24"/>
          <w:szCs w:val="24"/>
        </w:rPr>
        <w:t>7</w:t>
      </w:r>
      <w:r>
        <w:rPr>
          <w:rFonts w:hint="default" w:ascii="Arial" w:hAnsi="Arial" w:cs="Arial"/>
          <w:sz w:val="24"/>
          <w:szCs w:val="24"/>
          <w:lang w:val="id-ID"/>
        </w:rPr>
        <w:t xml:space="preserve"> Biro Pengelolaan Aset Daerah diganti dengan nama Biro Administrasi Pengadaan dan Pengelolaan Barang Milik Daerah</w:t>
      </w:r>
      <w:r>
        <w:rPr>
          <w:rFonts w:hint="default" w:ascii="Arial" w:hAnsi="Arial" w:cs="Arial"/>
          <w:sz w:val="24"/>
          <w:szCs w:val="24"/>
        </w:rPr>
        <w:t xml:space="preserve"> dengan tujuan “</w:t>
      </w:r>
      <w:r>
        <w:rPr>
          <w:rFonts w:hint="default" w:ascii="Arial" w:hAnsi="Arial" w:cs="Arial"/>
          <w:b/>
          <w:bCs/>
          <w:i/>
          <w:iCs/>
          <w:sz w:val="24"/>
          <w:szCs w:val="24"/>
          <w:lang w:val="zh-CN"/>
        </w:rPr>
        <w:t>Berkurangnya nilai aset daerah yang bermasalah</w:t>
      </w:r>
      <w:r>
        <w:rPr>
          <w:rFonts w:hint="default" w:ascii="Arial" w:hAnsi="Arial" w:cs="Arial"/>
          <w:b/>
          <w:bCs/>
          <w:i/>
          <w:iCs/>
          <w:sz w:val="24"/>
          <w:szCs w:val="24"/>
        </w:rPr>
        <w:t xml:space="preserve">” </w:t>
      </w:r>
      <w:r>
        <w:rPr>
          <w:rFonts w:hint="default" w:ascii="Arial" w:hAnsi="Arial" w:cs="Arial"/>
          <w:b w:val="0"/>
          <w:bCs w:val="0"/>
          <w:i w:val="0"/>
          <w:iCs w:val="0"/>
          <w:sz w:val="24"/>
          <w:szCs w:val="24"/>
        </w:rPr>
        <w:t>sasaran “</w:t>
      </w:r>
      <w:r>
        <w:rPr>
          <w:rFonts w:hint="default" w:ascii="Arial" w:hAnsi="Arial" w:cs="Arial"/>
          <w:b/>
          <w:bCs/>
          <w:i/>
          <w:iCs/>
          <w:sz w:val="24"/>
          <w:szCs w:val="24"/>
        </w:rPr>
        <w:t>Tertib Pengelolaan Barang Milik Daerah</w:t>
      </w:r>
      <w:r>
        <w:rPr>
          <w:rFonts w:hint="default" w:ascii="Arial" w:hAnsi="Arial" w:cs="Arial"/>
          <w:b w:val="0"/>
          <w:bCs w:val="0"/>
          <w:i w:val="0"/>
          <w:iCs w:val="0"/>
          <w:sz w:val="24"/>
          <w:szCs w:val="24"/>
        </w:rPr>
        <w:t xml:space="preserve">” </w:t>
      </w:r>
      <w:r>
        <w:rPr>
          <w:rFonts w:hint="default" w:ascii="Arial" w:hAnsi="Arial" w:cs="Arial"/>
          <w:sz w:val="24"/>
          <w:szCs w:val="24"/>
        </w:rPr>
        <w:t>b</w:t>
      </w:r>
      <w:r>
        <w:rPr>
          <w:rFonts w:hint="default" w:ascii="Arial" w:hAnsi="Arial" w:cs="Arial"/>
          <w:sz w:val="24"/>
          <w:szCs w:val="24"/>
          <w:lang w:val="id-ID"/>
        </w:rPr>
        <w:t>erdasarkan</w:t>
      </w:r>
      <w:r>
        <w:rPr>
          <w:rFonts w:hint="default" w:ascii="Arial" w:hAnsi="Arial" w:cs="Arial"/>
          <w:sz w:val="24"/>
          <w:szCs w:val="24"/>
        </w:rPr>
        <w:t xml:space="preserve"> Peraturan </w:t>
      </w:r>
      <w:r>
        <w:rPr>
          <w:rFonts w:hint="default" w:ascii="Arial" w:hAnsi="Arial" w:cs="Arial"/>
          <w:sz w:val="24"/>
          <w:szCs w:val="24"/>
          <w:lang w:val="id-ID"/>
        </w:rPr>
        <w:t>Gubernur Sumatera Barat</w:t>
      </w:r>
      <w:r>
        <w:rPr>
          <w:rFonts w:hint="default" w:ascii="Arial" w:hAnsi="Arial" w:cs="Arial"/>
          <w:sz w:val="24"/>
          <w:szCs w:val="24"/>
        </w:rPr>
        <w:t xml:space="preserve"> Nomor 69 Tahun 20</w:t>
      </w:r>
      <w:r>
        <w:rPr>
          <w:rFonts w:hint="default" w:ascii="Arial" w:hAnsi="Arial" w:cs="Arial"/>
          <w:sz w:val="24"/>
          <w:szCs w:val="24"/>
          <w:lang w:val="id-ID"/>
        </w:rPr>
        <w:t>1</w:t>
      </w:r>
      <w:r>
        <w:rPr>
          <w:rFonts w:hint="default" w:ascii="Arial" w:hAnsi="Arial" w:cs="Arial"/>
          <w:sz w:val="24"/>
          <w:szCs w:val="24"/>
          <w:lang w:val="zh-CN"/>
        </w:rPr>
        <w:t>8</w:t>
      </w:r>
      <w:r>
        <w:rPr>
          <w:rFonts w:hint="default" w:ascii="Arial" w:hAnsi="Arial" w:cs="Arial"/>
          <w:sz w:val="24"/>
          <w:szCs w:val="24"/>
        </w:rPr>
        <w:t xml:space="preserve"> tentang</w:t>
      </w:r>
      <w:r>
        <w:rPr>
          <w:rFonts w:hint="default" w:ascii="Arial" w:hAnsi="Arial" w:cs="Arial"/>
          <w:sz w:val="24"/>
          <w:szCs w:val="24"/>
          <w:lang w:val="id-ID"/>
        </w:rPr>
        <w:t xml:space="preserve"> </w:t>
      </w:r>
      <w:r>
        <w:rPr>
          <w:rFonts w:hint="default" w:ascii="Arial" w:hAnsi="Arial" w:cs="Arial"/>
          <w:sz w:val="24"/>
          <w:szCs w:val="24"/>
        </w:rPr>
        <w:t xml:space="preserve">Uraian </w:t>
      </w:r>
      <w:r>
        <w:rPr>
          <w:rFonts w:hint="default" w:ascii="Arial" w:hAnsi="Arial" w:cs="Arial"/>
          <w:sz w:val="24"/>
          <w:szCs w:val="24"/>
          <w:lang w:val="id-ID"/>
        </w:rPr>
        <w:t>Tugas Pokok</w:t>
      </w:r>
      <w:r>
        <w:rPr>
          <w:rFonts w:hint="default" w:ascii="Arial" w:hAnsi="Arial" w:cs="Arial"/>
          <w:sz w:val="24"/>
          <w:szCs w:val="24"/>
        </w:rPr>
        <w:t xml:space="preserve"> dan </w:t>
      </w:r>
      <w:r>
        <w:rPr>
          <w:rFonts w:hint="default" w:ascii="Arial" w:hAnsi="Arial" w:cs="Arial"/>
          <w:sz w:val="24"/>
          <w:szCs w:val="24"/>
          <w:lang w:val="id-ID"/>
        </w:rPr>
        <w:t xml:space="preserve">Fungsi Sekretariat Daerah Prov. Sumatera Barat </w:t>
      </w:r>
      <w:r>
        <w:rPr>
          <w:rFonts w:hint="default" w:ascii="Arial" w:hAnsi="Arial" w:cs="Arial"/>
          <w:sz w:val="24"/>
          <w:szCs w:val="24"/>
        </w:rPr>
        <w:t xml:space="preserve">pada </w:t>
      </w:r>
      <w:r>
        <w:rPr>
          <w:rFonts w:hint="default" w:ascii="Arial" w:hAnsi="Arial" w:cs="Arial"/>
          <w:sz w:val="24"/>
          <w:szCs w:val="24"/>
          <w:lang w:val="id-ID"/>
        </w:rPr>
        <w:t xml:space="preserve">paragraf </w:t>
      </w:r>
      <w:r>
        <w:rPr>
          <w:rFonts w:hint="default" w:ascii="Arial" w:hAnsi="Arial" w:cs="Arial"/>
          <w:sz w:val="24"/>
          <w:szCs w:val="24"/>
        </w:rPr>
        <w:t>3</w:t>
      </w:r>
      <w:r>
        <w:rPr>
          <w:rFonts w:hint="default" w:ascii="Arial" w:hAnsi="Arial" w:cs="Arial"/>
          <w:sz w:val="24"/>
          <w:szCs w:val="24"/>
          <w:lang w:val="id-ID"/>
        </w:rPr>
        <w:t xml:space="preserve"> pasal </w:t>
      </w:r>
      <w:r>
        <w:rPr>
          <w:rFonts w:hint="default" w:ascii="Arial" w:hAnsi="Arial" w:cs="Arial"/>
          <w:sz w:val="24"/>
          <w:szCs w:val="24"/>
          <w:lang w:val="zh-CN"/>
        </w:rPr>
        <w:t>6</w:t>
      </w:r>
      <w:r>
        <w:rPr>
          <w:rFonts w:hint="default" w:ascii="Arial" w:hAnsi="Arial" w:cs="Arial"/>
          <w:sz w:val="24"/>
          <w:szCs w:val="24"/>
        </w:rPr>
        <w:t xml:space="preserve">8, </w:t>
      </w:r>
      <w:r>
        <w:rPr>
          <w:rFonts w:hint="default" w:ascii="Arial" w:hAnsi="Arial" w:cs="Arial"/>
          <w:sz w:val="24"/>
          <w:szCs w:val="24"/>
          <w:lang w:val="id-ID"/>
        </w:rPr>
        <w:t xml:space="preserve">ditetapkan </w:t>
      </w:r>
      <w:r>
        <w:rPr>
          <w:rFonts w:hint="default" w:ascii="Arial" w:hAnsi="Arial" w:cs="Arial"/>
          <w:sz w:val="24"/>
          <w:szCs w:val="24"/>
        </w:rPr>
        <w:t xml:space="preserve"> Biro Administrasi Pengadaan dan </w:t>
      </w:r>
      <w:r>
        <w:rPr>
          <w:rFonts w:hint="default" w:ascii="Arial" w:hAnsi="Arial" w:cs="Arial"/>
          <w:sz w:val="24"/>
          <w:szCs w:val="24"/>
          <w:lang w:val="id-ID"/>
        </w:rPr>
        <w:t xml:space="preserve">Pengelolaan </w:t>
      </w:r>
      <w:r>
        <w:rPr>
          <w:rFonts w:hint="default" w:ascii="Arial" w:hAnsi="Arial" w:cs="Arial"/>
          <w:sz w:val="24"/>
          <w:szCs w:val="24"/>
        </w:rPr>
        <w:t>Barang Milik</w:t>
      </w:r>
      <w:r>
        <w:rPr>
          <w:rFonts w:hint="default" w:ascii="Arial" w:hAnsi="Arial" w:cs="Arial"/>
          <w:sz w:val="24"/>
          <w:szCs w:val="24"/>
          <w:lang w:val="id-ID"/>
        </w:rPr>
        <w:t xml:space="preserve"> Daerah</w:t>
      </w:r>
      <w:r>
        <w:rPr>
          <w:rFonts w:hint="default" w:ascii="Arial" w:hAnsi="Arial" w:cs="Arial"/>
          <w:sz w:val="24"/>
          <w:szCs w:val="24"/>
        </w:rPr>
        <w:t xml:space="preserve"> mempunyai tugas pokok </w:t>
      </w:r>
      <w:r>
        <w:rPr>
          <w:rFonts w:hint="default" w:ascii="Arial" w:hAnsi="Arial" w:cs="Arial"/>
          <w:b/>
          <w:bCs/>
          <w:sz w:val="24"/>
          <w:szCs w:val="24"/>
        </w:rPr>
        <w:t>“</w:t>
      </w:r>
      <w:r>
        <w:rPr>
          <w:rFonts w:hint="default" w:ascii="Arial" w:hAnsi="Arial" w:cs="Arial"/>
          <w:b/>
          <w:bCs/>
          <w:i/>
          <w:iCs/>
          <w:sz w:val="24"/>
          <w:szCs w:val="24"/>
          <w:lang w:val="id-ID"/>
        </w:rPr>
        <w:t xml:space="preserve">menyelenggarakan perumusan kebijakan </w:t>
      </w:r>
      <w:r>
        <w:rPr>
          <w:rFonts w:hint="default" w:ascii="Arial" w:hAnsi="Arial" w:cs="Arial"/>
          <w:b/>
          <w:bCs/>
          <w:i/>
          <w:iCs/>
          <w:sz w:val="24"/>
          <w:szCs w:val="24"/>
        </w:rPr>
        <w:t xml:space="preserve">daerah terkait barang milik daerah </w:t>
      </w:r>
      <w:r>
        <w:rPr>
          <w:rFonts w:hint="default" w:ascii="Arial" w:hAnsi="Arial" w:cs="Arial"/>
          <w:b/>
          <w:bCs/>
          <w:i/>
          <w:iCs/>
          <w:sz w:val="24"/>
          <w:szCs w:val="24"/>
          <w:lang w:val="id-ID"/>
        </w:rPr>
        <w:t xml:space="preserve">dan </w:t>
      </w:r>
      <w:r>
        <w:rPr>
          <w:rFonts w:hint="default" w:ascii="Arial" w:hAnsi="Arial" w:cs="Arial"/>
          <w:b/>
          <w:bCs/>
          <w:i/>
          <w:iCs/>
          <w:sz w:val="24"/>
          <w:szCs w:val="24"/>
        </w:rPr>
        <w:t>pengadaan barang dan jasa serta melaksanakan koordinasi, fasilitasi, pelaporan pelaksanaan perencanaan, pembinaan dan pengelolaan barang milik daerah serta penyelenggaraan layanan pengadaan barang dan jasa</w:t>
      </w:r>
      <w:r>
        <w:rPr>
          <w:rFonts w:hint="default" w:ascii="Arial" w:hAnsi="Arial" w:cs="Arial"/>
          <w:b/>
          <w:bCs/>
          <w:i/>
          <w:iCs/>
          <w:sz w:val="24"/>
          <w:szCs w:val="24"/>
          <w:lang w:val="id-ID"/>
        </w:rPr>
        <w:t>”</w:t>
      </w:r>
      <w:r>
        <w:rPr>
          <w:rFonts w:hint="default" w:ascii="Arial" w:hAnsi="Arial" w:cs="Arial"/>
          <w:i/>
          <w:iCs/>
          <w:sz w:val="24"/>
          <w:szCs w:val="24"/>
          <w:lang w:val="id-ID"/>
        </w:rPr>
        <w:t>.</w:t>
      </w:r>
      <w:r>
        <w:rPr>
          <w:rFonts w:hint="default" w:ascii="Arial" w:hAnsi="Arial" w:cs="Arial"/>
          <w:i/>
          <w:iCs/>
          <w:sz w:val="24"/>
          <w:szCs w:val="24"/>
        </w:rPr>
        <w:t xml:space="preserve"> </w:t>
      </w:r>
      <w:r>
        <w:rPr>
          <w:rFonts w:hint="default" w:ascii="Arial" w:hAnsi="Arial" w:cs="Arial"/>
          <w:sz w:val="24"/>
          <w:szCs w:val="24"/>
        </w:rPr>
        <w:t xml:space="preserve">Biro Administrasi Pengadaan dan </w:t>
      </w:r>
      <w:r>
        <w:rPr>
          <w:rFonts w:hint="default" w:ascii="Arial" w:hAnsi="Arial" w:cs="Arial"/>
          <w:sz w:val="24"/>
          <w:szCs w:val="24"/>
          <w:lang w:val="id-ID"/>
        </w:rPr>
        <w:t xml:space="preserve">Pengelolaan </w:t>
      </w:r>
      <w:r>
        <w:rPr>
          <w:rFonts w:hint="default" w:ascii="Arial" w:hAnsi="Arial" w:cs="Arial"/>
          <w:sz w:val="24"/>
          <w:szCs w:val="24"/>
        </w:rPr>
        <w:t>Barang Milik</w:t>
      </w:r>
      <w:r>
        <w:rPr>
          <w:rFonts w:hint="default" w:ascii="Arial" w:hAnsi="Arial" w:cs="Arial"/>
          <w:sz w:val="24"/>
          <w:szCs w:val="24"/>
          <w:lang w:val="id-ID"/>
        </w:rPr>
        <w:t xml:space="preserve"> Daerah</w:t>
      </w:r>
      <w:r>
        <w:rPr>
          <w:rFonts w:hint="default" w:ascii="Arial" w:hAnsi="Arial" w:cs="Arial"/>
          <w:sz w:val="24"/>
          <w:szCs w:val="24"/>
        </w:rPr>
        <w:t xml:space="preserve"> merupakan salah satu Biro dari sembilan Biro di lingkungan Sekretariat Daerah yang berkedudukan dibawah Asisten Perekonomian dan Pembangunan Sekretariat Daerah Provinsi Sumatera Barat. Sebagai Biro di lingkungan Sekretariat Daerah, Biro Administrasi Pengadaan dan </w:t>
      </w:r>
      <w:r>
        <w:rPr>
          <w:rFonts w:hint="default" w:ascii="Arial" w:hAnsi="Arial" w:cs="Arial"/>
          <w:sz w:val="24"/>
          <w:szCs w:val="24"/>
          <w:lang w:val="id-ID"/>
        </w:rPr>
        <w:t xml:space="preserve">Pengelolaan </w:t>
      </w:r>
      <w:r>
        <w:rPr>
          <w:rFonts w:hint="default" w:ascii="Arial" w:hAnsi="Arial" w:cs="Arial"/>
          <w:sz w:val="24"/>
          <w:szCs w:val="24"/>
        </w:rPr>
        <w:t>Barang Milik</w:t>
      </w:r>
      <w:r>
        <w:rPr>
          <w:rFonts w:hint="default" w:ascii="Arial" w:hAnsi="Arial" w:cs="Arial"/>
          <w:sz w:val="24"/>
          <w:szCs w:val="24"/>
          <w:lang w:val="id-ID"/>
        </w:rPr>
        <w:t xml:space="preserve"> Daerah</w:t>
      </w:r>
      <w:r>
        <w:rPr>
          <w:rFonts w:hint="default" w:ascii="Arial" w:hAnsi="Arial" w:cs="Arial"/>
          <w:sz w:val="24"/>
          <w:szCs w:val="24"/>
        </w:rPr>
        <w:t xml:space="preserve"> melaksanakan fungsi Sekretariat Daerah yang merupakan unsur staf Pemerintah Daerah dibidang P</w:t>
      </w:r>
      <w:r>
        <w:rPr>
          <w:rFonts w:hint="default" w:ascii="Arial" w:hAnsi="Arial" w:cs="Arial"/>
          <w:sz w:val="24"/>
          <w:szCs w:val="24"/>
          <w:lang w:val="id-ID"/>
        </w:rPr>
        <w:t xml:space="preserve">engelolaan </w:t>
      </w:r>
      <w:r>
        <w:rPr>
          <w:rFonts w:hint="default" w:ascii="Arial" w:hAnsi="Arial" w:cs="Arial"/>
          <w:sz w:val="24"/>
          <w:szCs w:val="24"/>
        </w:rPr>
        <w:t>Barang Milik D</w:t>
      </w:r>
      <w:r>
        <w:rPr>
          <w:rFonts w:hint="default" w:ascii="Arial" w:hAnsi="Arial" w:cs="Arial"/>
          <w:sz w:val="24"/>
          <w:szCs w:val="24"/>
          <w:lang w:val="id-ID"/>
        </w:rPr>
        <w:t>aerah</w:t>
      </w:r>
    </w:p>
    <w:p>
      <w:pPr>
        <w:spacing w:before="60" w:after="60"/>
        <w:jc w:val="both"/>
        <w:rPr>
          <w:rFonts w:ascii="Arial" w:hAnsi="Arial" w:cs="Arial"/>
          <w:color w:val="000000" w:themeColor="text1"/>
          <w14:textFill>
            <w14:solidFill>
              <w14:schemeClr w14:val="tx1"/>
            </w14:solidFill>
          </w14:textFill>
        </w:rPr>
      </w:pPr>
    </w:p>
    <w:p>
      <w:pPr>
        <w:pStyle w:val="25"/>
        <w:numPr>
          <w:ilvl w:val="0"/>
          <w:numId w:val="1"/>
        </w:numPr>
        <w:spacing w:after="0" w:line="240" w:lineRule="auto"/>
        <w:ind w:left="567" w:hanging="567"/>
        <w:jc w:val="both"/>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Capaian Pelaksanaan Program</w:t>
      </w:r>
    </w:p>
    <w:p>
      <w:pPr>
        <w:pStyle w:val="25"/>
        <w:numPr>
          <w:ilvl w:val="0"/>
          <w:numId w:val="0"/>
        </w:numPr>
        <w:spacing w:after="0" w:line="240" w:lineRule="auto"/>
        <w:ind w:leftChars="0"/>
        <w:jc w:val="both"/>
        <w:rPr>
          <w:rFonts w:ascii="Arial" w:hAnsi="Arial" w:cs="Arial"/>
          <w:b/>
          <w:color w:val="000000" w:themeColor="text1"/>
          <w14:textFill>
            <w14:solidFill>
              <w14:schemeClr w14:val="tx1"/>
            </w14:solidFill>
          </w14:textFill>
        </w:rPr>
      </w:pPr>
    </w:p>
    <w:p>
      <w:pPr>
        <w:pStyle w:val="25"/>
        <w:spacing w:after="0" w:line="240" w:lineRule="auto"/>
        <w:ind w:left="567"/>
        <w:jc w:val="both"/>
        <w:rPr>
          <w:rFonts w:ascii="Arial" w:hAnsi="Arial" w:cs="Arial"/>
          <w:b/>
          <w:color w:val="000000" w:themeColor="text1"/>
          <w14:textFill>
            <w14:solidFill>
              <w14:schemeClr w14:val="tx1"/>
            </w14:solidFill>
          </w14:textFill>
        </w:rPr>
      </w:pPr>
      <w:r>
        <w:rPr>
          <w:rFonts w:ascii="Arial" w:hAnsi="Arial" w:cs="Arial"/>
        </w:rPr>
        <w:t xml:space="preserve">Untuk mendukung urusan wajib </w:t>
      </w:r>
      <w:r>
        <w:rPr>
          <w:rFonts w:hint="default" w:ascii="Arial" w:hAnsi="Arial" w:cs="Arial"/>
          <w:sz w:val="24"/>
          <w:szCs w:val="24"/>
          <w:lang w:val="id-ID"/>
        </w:rPr>
        <w:t>Biro Administrasi Pengadaan dan Pengelolaan Barang Milik Daerah</w:t>
      </w:r>
      <w:r>
        <w:rPr>
          <w:rFonts w:ascii="Arial" w:hAnsi="Arial" w:cs="Arial"/>
        </w:rPr>
        <w:t xml:space="preserve"> Tahun 201</w:t>
      </w:r>
      <w:r>
        <w:rPr>
          <w:rFonts w:hint="default" w:ascii="Arial" w:hAnsi="Arial" w:cs="Arial"/>
          <w:lang w:val="zh-CN"/>
        </w:rPr>
        <w:t>9</w:t>
      </w:r>
      <w:r>
        <w:rPr>
          <w:rFonts w:ascii="Arial" w:hAnsi="Arial" w:cs="Arial"/>
        </w:rPr>
        <w:t xml:space="preserve"> dialokasikan anggaran APBD Provinsi Sumatera Barat sebesar </w:t>
      </w:r>
      <w:r>
        <w:rPr>
          <w:rFonts w:ascii="Arial" w:hAnsi="Arial" w:cs="Arial"/>
          <w:color w:val="000000" w:themeColor="text1"/>
          <w14:textFill>
            <w14:solidFill>
              <w14:schemeClr w14:val="tx1"/>
            </w14:solidFill>
          </w14:textFill>
        </w:rPr>
        <w:t>Rp</w:t>
      </w:r>
      <w:r>
        <w:rPr>
          <w:rFonts w:ascii="Arial" w:hAnsi="Arial" w:cs="Arial"/>
          <w:color w:val="000000" w:themeColor="text1"/>
          <w:lang w:val="id-ID"/>
          <w14:textFill>
            <w14:solidFill>
              <w14:schemeClr w14:val="tx1"/>
            </w14:solidFill>
          </w14:textFill>
        </w:rPr>
        <w:t>.</w:t>
      </w:r>
      <w:r>
        <w:rPr>
          <w:rFonts w:hint="default" w:ascii="Arial" w:hAnsi="Arial" w:cs="Arial"/>
          <w:color w:val="000000" w:themeColor="text1"/>
          <w:lang w:val="zh-CN"/>
          <w14:textFill>
            <w14:solidFill>
              <w14:schemeClr w14:val="tx1"/>
            </w14:solidFill>
          </w14:textFill>
        </w:rPr>
        <w:t>4.809.249.944</w:t>
      </w:r>
      <w:r>
        <w:rPr>
          <w:rFonts w:ascii="Arial" w:hAnsi="Arial" w:cs="Arial"/>
          <w:color w:val="000000" w:themeColor="text1"/>
          <w14:textFill>
            <w14:solidFill>
              <w14:schemeClr w14:val="tx1"/>
            </w14:solidFill>
          </w14:textFill>
        </w:rPr>
        <w:t>,- d</w:t>
      </w:r>
      <w:r>
        <w:rPr>
          <w:rFonts w:hint="default" w:ascii="Arial" w:hAnsi="Arial" w:cs="Arial"/>
          <w:color w:val="000000" w:themeColor="text1"/>
          <w:lang w:val="zh-CN"/>
          <w14:textFill>
            <w14:solidFill>
              <w14:schemeClr w14:val="tx1"/>
            </w14:solidFill>
          </w14:textFill>
        </w:rPr>
        <w:t>engan</w:t>
      </w:r>
      <w:r>
        <w:rPr>
          <w:rFonts w:ascii="Arial" w:hAnsi="Arial" w:cs="Arial"/>
          <w:color w:val="000000" w:themeColor="text1"/>
          <w14:textFill>
            <w14:solidFill>
              <w14:schemeClr w14:val="tx1"/>
            </w14:solidFill>
          </w14:textFill>
        </w:rPr>
        <w:t xml:space="preserve"> realisasi Rp.</w:t>
      </w:r>
      <w:r>
        <w:rPr>
          <w:rFonts w:hint="default" w:ascii="Arial" w:hAnsi="Arial" w:cs="Arial"/>
          <w:color w:val="000000" w:themeColor="text1"/>
          <w:lang w:val="zh-CN"/>
          <w14:textFill>
            <w14:solidFill>
              <w14:schemeClr w14:val="tx1"/>
            </w14:solidFill>
          </w14:textFill>
        </w:rPr>
        <w:t>4.624.713.956</w:t>
      </w:r>
      <w:r>
        <w:rPr>
          <w:rFonts w:ascii="Arial" w:hAnsi="Arial" w:cs="Arial"/>
          <w:color w:val="000000" w:themeColor="text1"/>
          <w14:textFill>
            <w14:solidFill>
              <w14:schemeClr w14:val="tx1"/>
            </w14:solidFill>
          </w14:textFill>
        </w:rPr>
        <w:t>,- (9</w:t>
      </w:r>
      <w:r>
        <w:rPr>
          <w:rFonts w:hint="default" w:ascii="Arial" w:hAnsi="Arial" w:cs="Arial"/>
          <w:color w:val="000000" w:themeColor="text1"/>
          <w:lang w:val="zh-CN"/>
          <w14:textFill>
            <w14:solidFill>
              <w14:schemeClr w14:val="tx1"/>
            </w14:solidFill>
          </w14:textFill>
        </w:rPr>
        <w:t>6,16</w:t>
      </w:r>
      <w:r>
        <w:rPr>
          <w:rFonts w:ascii="Arial" w:hAnsi="Arial" w:cs="Arial"/>
          <w:color w:val="000000" w:themeColor="text1"/>
          <w14:textFill>
            <w14:solidFill>
              <w14:schemeClr w14:val="tx1"/>
            </w14:solidFill>
          </w14:textFill>
        </w:rPr>
        <w:t>%)</w:t>
      </w:r>
      <w:r>
        <w:rPr>
          <w:rFonts w:ascii="Arial" w:hAnsi="Arial" w:cs="Arial"/>
        </w:rPr>
        <w:t xml:space="preserve">, dengan </w:t>
      </w:r>
      <w:r>
        <w:rPr>
          <w:rFonts w:hint="default" w:ascii="Arial" w:hAnsi="Arial" w:cs="Arial"/>
          <w:lang w:val="zh-CN"/>
        </w:rPr>
        <w:t xml:space="preserve">rincian program </w:t>
      </w:r>
      <w:r>
        <w:rPr>
          <w:rFonts w:ascii="Arial" w:hAnsi="Arial" w:cs="Arial"/>
        </w:rPr>
        <w:t>sebagai berikut :</w:t>
      </w:r>
    </w:p>
    <w:p>
      <w:pPr>
        <w:pStyle w:val="25"/>
        <w:numPr>
          <w:ilvl w:val="0"/>
          <w:numId w:val="2"/>
        </w:numPr>
        <w:spacing w:before="60" w:after="60"/>
        <w:ind w:left="1134"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Program Pelayanan Administrasi Perkantoran, dengan anggaran Rp.</w:t>
      </w:r>
      <w:r>
        <w:rPr>
          <w:rFonts w:hint="default" w:ascii="Arial" w:hAnsi="Arial" w:cs="Arial"/>
          <w:color w:val="000000" w:themeColor="text1"/>
          <w:lang w:val="zh-CN"/>
          <w14:textFill>
            <w14:solidFill>
              <w14:schemeClr w14:val="tx1"/>
            </w14:solidFill>
          </w14:textFill>
        </w:rPr>
        <w:t>621.905.567</w:t>
      </w:r>
      <w:r>
        <w:rPr>
          <w:rFonts w:ascii="Arial" w:hAnsi="Arial" w:cs="Arial"/>
          <w:color w:val="000000" w:themeColor="text1"/>
          <w14:textFill>
            <w14:solidFill>
              <w14:schemeClr w14:val="tx1"/>
            </w14:solidFill>
          </w14:textFill>
        </w:rPr>
        <w:t>,- dan realisasi sebesar   Rp.</w:t>
      </w:r>
      <w:r>
        <w:rPr>
          <w:rFonts w:hint="default" w:ascii="Arial" w:hAnsi="Arial" w:cs="Arial"/>
          <w:color w:val="000000" w:themeColor="text1"/>
          <w:lang w:val="zh-CN"/>
          <w14:textFill>
            <w14:solidFill>
              <w14:schemeClr w14:val="tx1"/>
            </w14:solidFill>
          </w14:textFill>
        </w:rPr>
        <w:t>615.688.441</w:t>
      </w:r>
      <w:r>
        <w:rPr>
          <w:rFonts w:ascii="Arial" w:hAnsi="Arial" w:cs="Arial"/>
          <w:color w:val="000000" w:themeColor="text1"/>
          <w14:textFill>
            <w14:solidFill>
              <w14:schemeClr w14:val="tx1"/>
            </w14:solidFill>
          </w14:textFill>
        </w:rPr>
        <w:t>,- (9</w:t>
      </w:r>
      <w:r>
        <w:rPr>
          <w:rFonts w:hint="default" w:ascii="Arial" w:hAnsi="Arial" w:cs="Arial"/>
          <w:color w:val="000000" w:themeColor="text1"/>
          <w:lang w:val="zh-CN"/>
          <w14:textFill>
            <w14:solidFill>
              <w14:schemeClr w14:val="tx1"/>
            </w14:solidFill>
          </w14:textFill>
        </w:rPr>
        <w:t>8,04</w:t>
      </w:r>
      <w:r>
        <w:rPr>
          <w:rFonts w:ascii="Arial" w:hAnsi="Arial" w:cs="Arial"/>
          <w:color w:val="000000" w:themeColor="text1"/>
          <w14:textFill>
            <w14:solidFill>
              <w14:schemeClr w14:val="tx1"/>
            </w14:solidFill>
          </w14:textFill>
        </w:rPr>
        <w:t>%).</w:t>
      </w:r>
    </w:p>
    <w:p>
      <w:pPr>
        <w:pStyle w:val="25"/>
        <w:numPr>
          <w:ilvl w:val="0"/>
          <w:numId w:val="2"/>
        </w:numPr>
        <w:spacing w:before="60" w:after="60"/>
        <w:ind w:left="1134"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Program Peningkatan Sarana dan Prasarana Aparatur, dengan anggaran Rp.</w:t>
      </w:r>
      <w:r>
        <w:rPr>
          <w:rFonts w:hint="default" w:ascii="Arial" w:hAnsi="Arial" w:cs="Arial"/>
          <w:color w:val="000000" w:themeColor="text1"/>
          <w:lang w:val="zh-CN"/>
          <w14:textFill>
            <w14:solidFill>
              <w14:schemeClr w14:val="tx1"/>
            </w14:solidFill>
          </w14:textFill>
        </w:rPr>
        <w:t>78.534.000</w:t>
      </w:r>
      <w:r>
        <w:rPr>
          <w:rFonts w:ascii="Arial" w:hAnsi="Arial" w:cs="Arial"/>
          <w:color w:val="000000" w:themeColor="text1"/>
          <w14:textFill>
            <w14:solidFill>
              <w14:schemeClr w14:val="tx1"/>
            </w14:solidFill>
          </w14:textFill>
        </w:rPr>
        <w:t>,- dan realisasi sebesar Rp.</w:t>
      </w:r>
      <w:r>
        <w:rPr>
          <w:rFonts w:hint="default" w:ascii="Arial" w:hAnsi="Arial" w:cs="Arial"/>
          <w:color w:val="000000" w:themeColor="text1"/>
          <w:lang w:val="zh-CN"/>
          <w14:textFill>
            <w14:solidFill>
              <w14:schemeClr w14:val="tx1"/>
            </w14:solidFill>
          </w14:textFill>
        </w:rPr>
        <w:t>77.101.497</w:t>
      </w:r>
      <w:r>
        <w:rPr>
          <w:rFonts w:ascii="Arial" w:hAnsi="Arial" w:cs="Arial"/>
          <w:color w:val="000000" w:themeColor="text1"/>
          <w14:textFill>
            <w14:solidFill>
              <w14:schemeClr w14:val="tx1"/>
            </w14:solidFill>
          </w14:textFill>
        </w:rPr>
        <w:t>,- (9</w:t>
      </w:r>
      <w:r>
        <w:rPr>
          <w:rFonts w:hint="default" w:ascii="Arial" w:hAnsi="Arial" w:cs="Arial"/>
          <w:color w:val="000000" w:themeColor="text1"/>
          <w:lang w:val="zh-CN"/>
          <w14:textFill>
            <w14:solidFill>
              <w14:schemeClr w14:val="tx1"/>
            </w14:solidFill>
          </w14:textFill>
        </w:rPr>
        <w:t>7,97</w:t>
      </w:r>
      <w:r>
        <w:rPr>
          <w:rFonts w:ascii="Arial" w:hAnsi="Arial" w:cs="Arial"/>
          <w:color w:val="000000" w:themeColor="text1"/>
          <w14:textFill>
            <w14:solidFill>
              <w14:schemeClr w14:val="tx1"/>
            </w14:solidFill>
          </w14:textFill>
        </w:rPr>
        <w:t>%).</w:t>
      </w:r>
    </w:p>
    <w:p>
      <w:pPr>
        <w:pStyle w:val="25"/>
        <w:numPr>
          <w:ilvl w:val="0"/>
          <w:numId w:val="2"/>
        </w:numPr>
        <w:spacing w:before="60" w:after="60"/>
        <w:ind w:left="1134"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Program Peningkatan Kapasitas Sumber Daya Aparatur, dengan anggaran Rp.</w:t>
      </w:r>
      <w:r>
        <w:rPr>
          <w:rFonts w:hint="default" w:ascii="Arial" w:hAnsi="Arial" w:cs="Arial"/>
          <w:color w:val="000000" w:themeColor="text1"/>
          <w:lang w:val="zh-CN"/>
          <w14:textFill>
            <w14:solidFill>
              <w14:schemeClr w14:val="tx1"/>
            </w14:solidFill>
          </w14:textFill>
        </w:rPr>
        <w:t>33.154.600</w:t>
      </w:r>
      <w:r>
        <w:rPr>
          <w:rFonts w:ascii="Arial" w:hAnsi="Arial" w:cs="Arial"/>
          <w:color w:val="000000" w:themeColor="text1"/>
          <w14:textFill>
            <w14:solidFill>
              <w14:schemeClr w14:val="tx1"/>
            </w14:solidFill>
          </w14:textFill>
        </w:rPr>
        <w:t>,- dan realisasi sebesar Rp.</w:t>
      </w:r>
      <w:r>
        <w:rPr>
          <w:rFonts w:hint="default" w:ascii="Arial" w:hAnsi="Arial" w:cs="Arial"/>
          <w:color w:val="000000" w:themeColor="text1"/>
          <w:lang w:val="zh-CN"/>
          <w14:textFill>
            <w14:solidFill>
              <w14:schemeClr w14:val="tx1"/>
            </w14:solidFill>
          </w14:textFill>
        </w:rPr>
        <w:t>23.473.400</w:t>
      </w:r>
      <w:r>
        <w:rPr>
          <w:rFonts w:ascii="Arial" w:hAnsi="Arial" w:cs="Arial"/>
          <w:color w:val="000000" w:themeColor="text1"/>
          <w14:textFill>
            <w14:solidFill>
              <w14:schemeClr w14:val="tx1"/>
            </w14:solidFill>
          </w14:textFill>
        </w:rPr>
        <w:t>,- (</w:t>
      </w:r>
      <w:r>
        <w:rPr>
          <w:rFonts w:hint="default" w:ascii="Arial" w:hAnsi="Arial" w:cs="Arial"/>
          <w:color w:val="000000" w:themeColor="text1"/>
          <w:lang w:val="zh-CN"/>
          <w14:textFill>
            <w14:solidFill>
              <w14:schemeClr w14:val="tx1"/>
            </w14:solidFill>
          </w14:textFill>
        </w:rPr>
        <w:t>70,80</w:t>
      </w:r>
      <w:r>
        <w:rPr>
          <w:rFonts w:ascii="Arial" w:hAnsi="Arial" w:cs="Arial"/>
          <w:color w:val="000000" w:themeColor="text1"/>
          <w14:textFill>
            <w14:solidFill>
              <w14:schemeClr w14:val="tx1"/>
            </w14:solidFill>
          </w14:textFill>
        </w:rPr>
        <w:t>%)</w:t>
      </w:r>
      <w:r>
        <w:rPr>
          <w:rFonts w:hint="default" w:ascii="Arial" w:hAnsi="Arial" w:cs="Arial"/>
          <w:color w:val="000000" w:themeColor="text1"/>
          <w:lang w:val="zh-CN"/>
          <w14:textFill>
            <w14:solidFill>
              <w14:schemeClr w14:val="tx1"/>
            </w14:solidFill>
          </w14:textFill>
        </w:rPr>
        <w:t>, sebab rendahnya realisasi untuk program ini dikarenakan adanya kegiatan Bimtek yang diikuti oleh 2 orang staf tidak dipungut belanja kontribusinya sehingga anggaran kontribusi yang sudah dianggarkan tidak bisa di realisasikan.</w:t>
      </w:r>
    </w:p>
    <w:p>
      <w:pPr>
        <w:pStyle w:val="25"/>
        <w:numPr>
          <w:ilvl w:val="0"/>
          <w:numId w:val="2"/>
        </w:numPr>
        <w:spacing w:before="60" w:after="60"/>
        <w:ind w:left="1134"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Program </w:t>
      </w:r>
      <w:r>
        <w:rPr>
          <w:rFonts w:hint="default" w:ascii="Arial" w:hAnsi="Arial" w:cs="Arial"/>
          <w:color w:val="000000" w:themeColor="text1"/>
          <w:lang w:val="zh-CN"/>
          <w14:textFill>
            <w14:solidFill>
              <w14:schemeClr w14:val="tx1"/>
            </w14:solidFill>
          </w14:textFill>
        </w:rPr>
        <w:t>Peningkatan Pengembangan Sistem Pelaporan Capaian Kinerja dan Keuangan</w:t>
      </w:r>
      <w:r>
        <w:rPr>
          <w:rFonts w:ascii="Arial" w:hAnsi="Arial" w:cs="Arial"/>
          <w:color w:val="000000" w:themeColor="text1"/>
          <w14:textFill>
            <w14:solidFill>
              <w14:schemeClr w14:val="tx1"/>
            </w14:solidFill>
          </w14:textFill>
        </w:rPr>
        <w:t>, dengan anggaran Rp.</w:t>
      </w:r>
      <w:r>
        <w:rPr>
          <w:rFonts w:hint="default" w:ascii="Arial" w:hAnsi="Arial" w:cs="Arial"/>
          <w:color w:val="000000" w:themeColor="text1"/>
          <w:lang w:val="zh-CN"/>
          <w14:textFill>
            <w14:solidFill>
              <w14:schemeClr w14:val="tx1"/>
            </w14:solidFill>
          </w14:textFill>
        </w:rPr>
        <w:t>336.417.060</w:t>
      </w:r>
      <w:r>
        <w:rPr>
          <w:rFonts w:ascii="Arial" w:hAnsi="Arial" w:cs="Arial"/>
          <w:color w:val="000000" w:themeColor="text1"/>
          <w14:textFill>
            <w14:solidFill>
              <w14:schemeClr w14:val="tx1"/>
            </w14:solidFill>
          </w14:textFill>
        </w:rPr>
        <w:t>,- dan realisasi sebesar Rp.</w:t>
      </w:r>
      <w:r>
        <w:rPr>
          <w:rFonts w:hint="default" w:ascii="Arial" w:hAnsi="Arial" w:cs="Arial"/>
          <w:color w:val="000000" w:themeColor="text1"/>
          <w:lang w:val="zh-CN"/>
          <w14:textFill>
            <w14:solidFill>
              <w14:schemeClr w14:val="tx1"/>
            </w14:solidFill>
          </w14:textFill>
        </w:rPr>
        <w:t>329.853.300</w:t>
      </w:r>
      <w:r>
        <w:rPr>
          <w:rFonts w:ascii="Arial" w:hAnsi="Arial" w:cs="Arial"/>
          <w:color w:val="000000" w:themeColor="text1"/>
          <w14:textFill>
            <w14:solidFill>
              <w14:schemeClr w14:val="tx1"/>
            </w14:solidFill>
          </w14:textFill>
        </w:rPr>
        <w:t>,- (9</w:t>
      </w:r>
      <w:r>
        <w:rPr>
          <w:rFonts w:hint="default" w:ascii="Arial" w:hAnsi="Arial" w:cs="Arial"/>
          <w:color w:val="000000" w:themeColor="text1"/>
          <w:lang w:val="zh-CN"/>
          <w14:textFill>
            <w14:solidFill>
              <w14:schemeClr w14:val="tx1"/>
            </w14:solidFill>
          </w14:textFill>
        </w:rPr>
        <w:t>6,68</w:t>
      </w:r>
      <w:r>
        <w:rPr>
          <w:rFonts w:ascii="Arial" w:hAnsi="Arial" w:cs="Arial"/>
          <w:color w:val="000000" w:themeColor="text1"/>
          <w14:textFill>
            <w14:solidFill>
              <w14:schemeClr w14:val="tx1"/>
            </w14:solidFill>
          </w14:textFill>
        </w:rPr>
        <w:t>%)</w:t>
      </w:r>
      <w:r>
        <w:rPr>
          <w:rFonts w:hint="default" w:ascii="Arial" w:hAnsi="Arial" w:cs="Arial"/>
          <w:color w:val="000000" w:themeColor="text1"/>
          <w:lang w:val="zh-CN"/>
          <w14:textFill>
            <w14:solidFill>
              <w14:schemeClr w14:val="tx1"/>
            </w14:solidFill>
          </w14:textFill>
        </w:rPr>
        <w:t>.</w:t>
      </w:r>
    </w:p>
    <w:p>
      <w:pPr>
        <w:pStyle w:val="25"/>
        <w:numPr>
          <w:ilvl w:val="0"/>
          <w:numId w:val="2"/>
        </w:numPr>
        <w:spacing w:before="60" w:after="60"/>
        <w:ind w:left="1134" w:hanging="567"/>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 xml:space="preserve">Program Pengembangan Manajemen Pelayanan Publik, dengan anggaran Rp.1.053.366.024,- dan realisasi Rp.1.004.171.241,- (94,30%) output dari program ini adalah </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Terlaksananya pengadaan barang dan jasa dilingkungan Pemerintah Provinsi Sumatera Barat dengan usulan 554 paket dan terlaksana 514 paket sedangkan 40 paket gagal terlaksana</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Tersedianya laporan monitoring pelaksanaan pengadaan barang dan jasa pemerintah dan laporan manitoring dan evaluasi implementasi LPSE Kabupaten/Kota</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Terjaminnya kelancaran operasional aplikasi SPSE dengan cara dilakukannya pemeliharaan server dan jaringan aplikasi SPSE</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Terlaksananya pembinaan tim pengelola LPSE Kabupaten/Kota, dikarenakan keterbatasan anggaran maka tahun 2019 cuma 2 Kabupaten/Kota</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Terlaksananya workshop peningkatan kompetensi anggota pokja/pengelola PBJ di UKPBJ</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Terlaksananya pengiriman peserta mengikuti koordinasi nasional dan regional, untuk tahun 2019 di kirim 3 org peserta</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Terlaksananya pembekalan bagi pejabat pengadaan dan pokja UKPBJ di lingkungan Pemerintah Provinsi Sumatera Barat sebanyak 70 orang</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Pembahasan dokumen RUP OPD final TA. 2019 dan Dokumen RUP OPD final TA 2019</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Terlaksananya pelatihan aplikasi SPSE untuk Pokja ULP/Pejabat pengadaan/KPA/PA dan penyedia</w:t>
      </w:r>
    </w:p>
    <w:p>
      <w:pPr>
        <w:pStyle w:val="25"/>
        <w:numPr>
          <w:ilvl w:val="0"/>
          <w:numId w:val="2"/>
        </w:numPr>
        <w:spacing w:before="60" w:after="60"/>
        <w:ind w:left="1134"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Program </w:t>
      </w:r>
      <w:r>
        <w:rPr>
          <w:rFonts w:hint="default" w:ascii="Arial" w:hAnsi="Arial" w:cs="Arial"/>
          <w:color w:val="000000" w:themeColor="text1"/>
          <w:lang w:val="zh-CN"/>
          <w14:textFill>
            <w14:solidFill>
              <w14:schemeClr w14:val="tx1"/>
            </w14:solidFill>
          </w14:textFill>
        </w:rPr>
        <w:t>Peningkatan Kinerja Perangkat Daerah dan Ketatalaksanaan Pemerinta Daerah</w:t>
      </w:r>
      <w:r>
        <w:rPr>
          <w:rFonts w:ascii="Arial" w:hAnsi="Arial" w:cs="Arial"/>
          <w:color w:val="000000" w:themeColor="text1"/>
          <w14:textFill>
            <w14:solidFill>
              <w14:schemeClr w14:val="tx1"/>
            </w14:solidFill>
          </w14:textFill>
        </w:rPr>
        <w:t>, dengan anggaran Rp.</w:t>
      </w:r>
      <w:r>
        <w:rPr>
          <w:rFonts w:hint="default" w:ascii="Arial" w:hAnsi="Arial" w:cs="Arial"/>
          <w:color w:val="000000" w:themeColor="text1"/>
          <w:lang w:val="zh-CN"/>
          <w14:textFill>
            <w14:solidFill>
              <w14:schemeClr w14:val="tx1"/>
            </w14:solidFill>
          </w14:textFill>
        </w:rPr>
        <w:t>1.383.067.150</w:t>
      </w:r>
      <w:r>
        <w:rPr>
          <w:rFonts w:ascii="Arial" w:hAnsi="Arial" w:cs="Arial"/>
          <w:color w:val="000000" w:themeColor="text1"/>
          <w14:textFill>
            <w14:solidFill>
              <w14:schemeClr w14:val="tx1"/>
            </w14:solidFill>
          </w14:textFill>
        </w:rPr>
        <w:t>,- dan realisasi sebesar Rp.</w:t>
      </w:r>
      <w:r>
        <w:rPr>
          <w:rFonts w:hint="default" w:ascii="Arial" w:hAnsi="Arial" w:cs="Arial"/>
          <w:color w:val="000000" w:themeColor="text1"/>
          <w:lang w:val="zh-CN"/>
          <w14:textFill>
            <w14:solidFill>
              <w14:schemeClr w14:val="tx1"/>
            </w14:solidFill>
          </w14:textFill>
        </w:rPr>
        <w:t>1.302.248.692</w:t>
      </w:r>
      <w:r>
        <w:rPr>
          <w:rFonts w:ascii="Arial" w:hAnsi="Arial" w:cs="Arial"/>
          <w:color w:val="000000" w:themeColor="text1"/>
          <w14:textFill>
            <w14:solidFill>
              <w14:schemeClr w14:val="tx1"/>
            </w14:solidFill>
          </w14:textFill>
        </w:rPr>
        <w:t>,- (9</w:t>
      </w:r>
      <w:r>
        <w:rPr>
          <w:rFonts w:hint="default" w:ascii="Arial" w:hAnsi="Arial" w:cs="Arial"/>
          <w:color w:val="000000" w:themeColor="text1"/>
          <w:lang w:val="zh-CN"/>
          <w14:textFill>
            <w14:solidFill>
              <w14:schemeClr w14:val="tx1"/>
            </w14:solidFill>
          </w14:textFill>
        </w:rPr>
        <w:t>4,32</w:t>
      </w:r>
      <w:r>
        <w:rPr>
          <w:rFonts w:ascii="Arial" w:hAnsi="Arial" w:cs="Arial"/>
          <w:color w:val="000000" w:themeColor="text1"/>
          <w14:textFill>
            <w14:solidFill>
              <w14:schemeClr w14:val="tx1"/>
            </w14:solidFill>
          </w14:textFill>
        </w:rPr>
        <w:t xml:space="preserve">%), </w:t>
      </w:r>
      <w:r>
        <w:rPr>
          <w:rFonts w:hint="default" w:ascii="Arial" w:hAnsi="Arial" w:cs="Arial"/>
          <w:color w:val="000000" w:themeColor="text1"/>
          <w:lang w:val="zh-CN"/>
          <w14:textFill>
            <w14:solidFill>
              <w14:schemeClr w14:val="tx1"/>
            </w14:solidFill>
          </w14:textFill>
        </w:rPr>
        <w:t>output</w:t>
      </w:r>
      <w:r>
        <w:rPr>
          <w:rFonts w:ascii="Arial" w:hAnsi="Arial" w:cs="Arial"/>
          <w:color w:val="000000" w:themeColor="text1"/>
          <w14:textFill>
            <w14:solidFill>
              <w14:schemeClr w14:val="tx1"/>
            </w14:solidFill>
          </w14:textFill>
        </w:rPr>
        <w:t xml:space="preserve"> dari program ini adalah : </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Terlaksanannya proses pensertifikatan tanah milik Pemerintah Provinsi Sumatera Barat dengan target 2 persil tanah tercapai 4 persil tanah yang terselesaikan</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Keluarnya Surat Keputusan Gubernur tentang Penghapusan BMD yang semula targetnya 15 SK tercapai 54 SK Gubernur tentang Penghapusan</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Keluarnya SK Gubernur tentang penjualan/lelang, tukar menukar, hibah dan penyertaan modal Pemerintah Daerah, NPHD dan BAST dengan target 25 SK Gubernur ttg Penjualan, 2 BAST dan 2 NHD tercapai  56 SK Gubernur ttg Penjualan, 2 BAST dan 2 NHD</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Terbitnya perjanjian pemamfaatan BMD dengan target 12 perjanjian pemamfaatan terealisasi 15 perjanjian pemamfaatan BMD</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Terlaksananya pengamanan BMD berupa pembuatan plang tanah sebanyak 50 plang tanah yang di pasang di SMAN, SMKN dan SDLBN di Kabupaten Agam, semua tanah milik Dinas Perindag Pemerintah Provinsi yang ada di Kabupaten/Kota, sebagian tanah milik Dinas Kelautan dan Perikanan Provinsi Sumatera Barat khususnya yang dimamfaatkan oleh UPTD dan tanah Disnakertrans yang berada di Kota Padang.</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Tersedianya buku hasil pengambilan data GIS</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 xml:space="preserve">Keluarnya surat izin penghunian rumah dinas dengan target 70 dokumen tercapai 118 dokumen untuk tahun 2019 </w:t>
      </w:r>
    </w:p>
    <w:p>
      <w:pPr>
        <w:pStyle w:val="25"/>
        <w:numPr>
          <w:ilvl w:val="0"/>
          <w:numId w:val="2"/>
        </w:numPr>
        <w:spacing w:before="60" w:after="60"/>
        <w:ind w:left="1134" w:hanging="567"/>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Program </w:t>
      </w:r>
      <w:r>
        <w:rPr>
          <w:rFonts w:hint="default" w:ascii="Arial" w:hAnsi="Arial" w:cs="Arial"/>
          <w:color w:val="000000" w:themeColor="text1"/>
          <w:lang w:val="zh-CN"/>
          <w14:textFill>
            <w14:solidFill>
              <w14:schemeClr w14:val="tx1"/>
            </w14:solidFill>
          </w14:textFill>
        </w:rPr>
        <w:t>Peningkatan Manajemen Penyelenggaraan Pemerintah Daerah</w:t>
      </w:r>
      <w:r>
        <w:rPr>
          <w:rFonts w:ascii="Arial" w:hAnsi="Arial" w:cs="Arial"/>
          <w:color w:val="000000" w:themeColor="text1"/>
          <w14:textFill>
            <w14:solidFill>
              <w14:schemeClr w14:val="tx1"/>
            </w14:solidFill>
          </w14:textFill>
        </w:rPr>
        <w:t>, dengan anggaran Rp.</w:t>
      </w:r>
      <w:r>
        <w:rPr>
          <w:rFonts w:hint="default" w:ascii="Arial" w:hAnsi="Arial" w:cs="Arial"/>
          <w:color w:val="000000" w:themeColor="text1"/>
          <w:lang w:val="zh-CN"/>
          <w14:textFill>
            <w14:solidFill>
              <w14:schemeClr w14:val="tx1"/>
            </w14:solidFill>
          </w14:textFill>
        </w:rPr>
        <w:t>1.302.805.543</w:t>
      </w:r>
      <w:r>
        <w:rPr>
          <w:rFonts w:ascii="Arial" w:hAnsi="Arial" w:cs="Arial"/>
          <w:color w:val="000000" w:themeColor="text1"/>
          <w14:textFill>
            <w14:solidFill>
              <w14:schemeClr w14:val="tx1"/>
            </w14:solidFill>
          </w14:textFill>
        </w:rPr>
        <w:t>,- dan realisasi sebesar Rp.</w:t>
      </w:r>
      <w:r>
        <w:rPr>
          <w:rFonts w:hint="default" w:ascii="Arial" w:hAnsi="Arial" w:cs="Arial"/>
          <w:color w:val="000000" w:themeColor="text1"/>
          <w:lang w:val="zh-CN"/>
          <w14:textFill>
            <w14:solidFill>
              <w14:schemeClr w14:val="tx1"/>
            </w14:solidFill>
          </w14:textFill>
        </w:rPr>
        <w:t>1.272.177.385</w:t>
      </w:r>
      <w:r>
        <w:rPr>
          <w:rFonts w:ascii="Arial" w:hAnsi="Arial" w:cs="Arial"/>
          <w:color w:val="000000" w:themeColor="text1"/>
          <w14:textFill>
            <w14:solidFill>
              <w14:schemeClr w14:val="tx1"/>
            </w14:solidFill>
          </w14:textFill>
        </w:rPr>
        <w:t>,- (9</w:t>
      </w:r>
      <w:r>
        <w:rPr>
          <w:rFonts w:hint="default" w:ascii="Arial" w:hAnsi="Arial" w:cs="Arial"/>
          <w:color w:val="000000" w:themeColor="text1"/>
          <w:lang w:val="zh-CN"/>
          <w14:textFill>
            <w14:solidFill>
              <w14:schemeClr w14:val="tx1"/>
            </w14:solidFill>
          </w14:textFill>
        </w:rPr>
        <w:t>6,72</w:t>
      </w:r>
      <w:r>
        <w:rPr>
          <w:rFonts w:ascii="Arial" w:hAnsi="Arial" w:cs="Arial"/>
          <w:color w:val="000000" w:themeColor="text1"/>
          <w14:textFill>
            <w14:solidFill>
              <w14:schemeClr w14:val="tx1"/>
            </w14:solidFill>
          </w14:textFill>
        </w:rPr>
        <w:t>%), output dari program ini adalah :</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Terlaksananya </w:t>
      </w:r>
      <w:r>
        <w:rPr>
          <w:rFonts w:hint="default" w:ascii="Arial" w:hAnsi="Arial" w:cs="Arial"/>
          <w:color w:val="000000" w:themeColor="text1"/>
          <w:lang w:val="zh-CN"/>
          <w14:textFill>
            <w14:solidFill>
              <w14:schemeClr w14:val="tx1"/>
            </w14:solidFill>
          </w14:textFill>
        </w:rPr>
        <w:t>pembahasan RKBMD pengadaan dan pemeliharaan TA 2020, pembuatan buku RKBMD pengadaan dan pemeliharaan TA 2020, pembuatan buku RKBMD perubahan TA 2019</w:t>
      </w:r>
      <w:r>
        <w:rPr>
          <w:rFonts w:ascii="Arial" w:hAnsi="Arial" w:cs="Arial"/>
          <w:color w:val="000000" w:themeColor="text1"/>
          <w14:textFill>
            <w14:solidFill>
              <w14:schemeClr w14:val="tx1"/>
            </w14:solidFill>
          </w14:textFill>
        </w:rPr>
        <w:t xml:space="preserve"> </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Tersedianya laporan hasil sensus barang milik daerah</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Tersedianya buku hasil rekonsiliasi semester 1, 2 dan 3, tersedianya buku realisasi pengadaan dan pemeliharaan semester II tahun 2018 dan realisasi pengadaan semester I tahun 2019 dimana target 36 buku, 6 buku dna 6 buku semua tercapai sesuai dengan target yang ditetapkan</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Tersedianya nilai untuk aset SKPD yang belum mempunyai nilai dari 3 objek tanah/bangunan yang menjadi target tercapai tercapai 14 objek bangunan untuk tahun 2019</w:t>
      </w:r>
    </w:p>
    <w:p>
      <w:pPr>
        <w:pStyle w:val="25"/>
        <w:numPr>
          <w:ilvl w:val="0"/>
          <w:numId w:val="3"/>
        </w:numPr>
        <w:spacing w:before="60" w:after="60"/>
        <w:ind w:left="1418" w:hanging="284"/>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 xml:space="preserve">Tersedianya aplikasi Sistem Informasi Barang Milik Daerah </w:t>
      </w:r>
    </w:p>
    <w:p>
      <w:pPr>
        <w:spacing w:after="0" w:line="240" w:lineRule="auto"/>
        <w:jc w:val="both"/>
        <w:rPr>
          <w:rFonts w:ascii="Arial" w:hAnsi="Arial" w:cs="Arial"/>
          <w:b/>
          <w:color w:val="000000" w:themeColor="text1"/>
          <w14:textFill>
            <w14:solidFill>
              <w14:schemeClr w14:val="tx1"/>
            </w14:solidFill>
          </w14:textFill>
        </w:rPr>
      </w:pPr>
    </w:p>
    <w:p>
      <w:pPr>
        <w:spacing w:after="0" w:line="240" w:lineRule="auto"/>
        <w:jc w:val="both"/>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 xml:space="preserve">Anggaran dan Realisasi Program/Kegiatan </w:t>
      </w:r>
    </w:p>
    <w:p>
      <w:pPr>
        <w:spacing w:after="0" w:line="240" w:lineRule="auto"/>
        <w:jc w:val="both"/>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Penyelenggaraan Urusan Perhubungan</w:t>
      </w:r>
    </w:p>
    <w:p>
      <w:pPr>
        <w:spacing w:after="0" w:line="240" w:lineRule="auto"/>
        <w:jc w:val="both"/>
        <w:rPr>
          <w:rFonts w:ascii="Arial" w:hAnsi="Arial" w:cs="Arial"/>
          <w:b/>
          <w:color w:val="000000" w:themeColor="text1"/>
          <w14:textFill>
            <w14:solidFill>
              <w14:schemeClr w14:val="tx1"/>
            </w14:solidFill>
          </w14:textFill>
        </w:rPr>
      </w:pPr>
    </w:p>
    <w:tbl>
      <w:tblPr>
        <w:tblStyle w:val="14"/>
        <w:tblpPr w:leftFromText="180" w:rightFromText="180" w:vertAnchor="text" w:horzAnchor="page" w:tblpX="721" w:tblpY="54"/>
        <w:tblOverlap w:val="never"/>
        <w:tblW w:w="10703" w:type="dxa"/>
        <w:tblCellSpacing w:w="0" w:type="dxa"/>
        <w:tblInd w:w="0" w:type="dxa"/>
        <w:shd w:val="clear" w:color="auto" w:fill="auto"/>
        <w:tblLayout w:type="fixed"/>
        <w:tblCellMar>
          <w:top w:w="0" w:type="dxa"/>
          <w:left w:w="0" w:type="dxa"/>
          <w:bottom w:w="0" w:type="dxa"/>
          <w:right w:w="0" w:type="dxa"/>
        </w:tblCellMar>
      </w:tblPr>
      <w:tblGrid>
        <w:gridCol w:w="413"/>
        <w:gridCol w:w="4980"/>
        <w:gridCol w:w="1665"/>
        <w:gridCol w:w="1620"/>
        <w:gridCol w:w="945"/>
        <w:gridCol w:w="1080"/>
      </w:tblGrid>
      <w:tr>
        <w:tblPrEx>
          <w:shd w:val="clear" w:color="auto" w:fill="auto"/>
          <w:tblCellMar>
            <w:top w:w="0" w:type="dxa"/>
            <w:left w:w="0" w:type="dxa"/>
            <w:bottom w:w="0" w:type="dxa"/>
            <w:right w:w="0" w:type="dxa"/>
          </w:tblCellMar>
        </w:tblPrEx>
        <w:trPr>
          <w:trHeight w:val="445" w:hRule="atLeast"/>
          <w:tblCellSpacing w:w="0" w:type="dxa"/>
        </w:trPr>
        <w:tc>
          <w:tcPr>
            <w:tcW w:w="413" w:type="dxa"/>
            <w:vMerge w:val="restart"/>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sz w:val="24"/>
                <w:szCs w:val="24"/>
              </w:rPr>
            </w:pPr>
            <w:r>
              <w:rPr>
                <w:rFonts w:hint="default" w:ascii="Arial" w:hAnsi="Arial" w:cs="Arial"/>
                <w:b/>
                <w:color w:val="000000"/>
                <w:sz w:val="24"/>
                <w:szCs w:val="24"/>
              </w:rPr>
              <w:t>No</w:t>
            </w:r>
          </w:p>
        </w:tc>
        <w:tc>
          <w:tcPr>
            <w:tcW w:w="4980" w:type="dxa"/>
            <w:vMerge w:val="restart"/>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sz w:val="24"/>
                <w:szCs w:val="24"/>
              </w:rPr>
            </w:pPr>
            <w:r>
              <w:rPr>
                <w:rFonts w:hint="default" w:ascii="Arial" w:hAnsi="Arial" w:cs="Arial"/>
                <w:b/>
                <w:color w:val="000000"/>
                <w:sz w:val="24"/>
                <w:szCs w:val="24"/>
              </w:rPr>
              <w:t>Program</w:t>
            </w:r>
          </w:p>
        </w:tc>
        <w:tc>
          <w:tcPr>
            <w:tcW w:w="1665" w:type="dxa"/>
            <w:vMerge w:val="restart"/>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sz w:val="24"/>
                <w:szCs w:val="24"/>
              </w:rPr>
            </w:pPr>
            <w:r>
              <w:rPr>
                <w:rFonts w:hint="default" w:ascii="Arial" w:hAnsi="Arial" w:cs="Arial"/>
                <w:b/>
                <w:color w:val="000000"/>
                <w:sz w:val="24"/>
                <w:szCs w:val="24"/>
              </w:rPr>
              <w:t>Anggaran</w:t>
            </w:r>
          </w:p>
        </w:tc>
        <w:tc>
          <w:tcPr>
            <w:tcW w:w="3645" w:type="dxa"/>
            <w:gridSpan w:val="3"/>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sz w:val="24"/>
                <w:szCs w:val="24"/>
              </w:rPr>
            </w:pPr>
            <w:r>
              <w:rPr>
                <w:rFonts w:hint="default" w:ascii="Arial" w:hAnsi="Arial" w:cs="Arial"/>
                <w:b/>
                <w:color w:val="000000"/>
                <w:sz w:val="24"/>
                <w:szCs w:val="24"/>
              </w:rPr>
              <w:t>Realisasi</w:t>
            </w:r>
          </w:p>
        </w:tc>
      </w:tr>
      <w:tr>
        <w:tblPrEx>
          <w:shd w:val="clear" w:color="auto" w:fill="auto"/>
          <w:tblCellMar>
            <w:top w:w="0" w:type="dxa"/>
            <w:left w:w="0" w:type="dxa"/>
            <w:bottom w:w="0" w:type="dxa"/>
            <w:right w:w="0" w:type="dxa"/>
          </w:tblCellMar>
        </w:tblPrEx>
        <w:trPr>
          <w:trHeight w:val="445" w:hRule="atLeast"/>
          <w:tblCellSpacing w:w="0" w:type="dxa"/>
        </w:trPr>
        <w:tc>
          <w:tcPr>
            <w:tcW w:w="413" w:type="dxa"/>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pPr>
              <w:jc w:val="center"/>
              <w:rPr>
                <w:rFonts w:hint="default" w:ascii="Arial" w:hAnsi="Arial" w:cs="Arial"/>
                <w:sz w:val="24"/>
                <w:szCs w:val="24"/>
              </w:rPr>
            </w:pPr>
          </w:p>
        </w:tc>
        <w:tc>
          <w:tcPr>
            <w:tcW w:w="4980" w:type="dxa"/>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pPr>
              <w:jc w:val="center"/>
              <w:rPr>
                <w:rFonts w:hint="default" w:ascii="Arial" w:hAnsi="Arial" w:cs="Arial"/>
                <w:sz w:val="24"/>
                <w:szCs w:val="24"/>
              </w:rPr>
            </w:pPr>
          </w:p>
        </w:tc>
        <w:tc>
          <w:tcPr>
            <w:tcW w:w="1665" w:type="dxa"/>
            <w:vMerge w:val="continue"/>
            <w:tcBorders>
              <w:top w:val="single" w:color="000000" w:sz="6" w:space="0"/>
              <w:left w:val="single" w:color="000000" w:sz="6" w:space="0"/>
              <w:bottom w:val="single" w:color="000000" w:sz="6" w:space="0"/>
              <w:right w:val="single" w:color="000000" w:sz="6" w:space="0"/>
            </w:tcBorders>
            <w:shd w:val="clear" w:color="auto" w:fill="FFFFFF"/>
            <w:vAlign w:val="center"/>
          </w:tcPr>
          <w:p>
            <w:pPr>
              <w:jc w:val="center"/>
              <w:rPr>
                <w:rFonts w:hint="default" w:ascii="Arial" w:hAnsi="Arial" w:cs="Arial"/>
                <w:sz w:val="24"/>
                <w:szCs w:val="24"/>
              </w:rPr>
            </w:pP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sz w:val="24"/>
                <w:szCs w:val="24"/>
              </w:rPr>
            </w:pPr>
            <w:r>
              <w:rPr>
                <w:rFonts w:hint="default" w:ascii="Arial" w:hAnsi="Arial" w:cs="Arial"/>
                <w:b/>
                <w:color w:val="000000"/>
                <w:sz w:val="24"/>
                <w:szCs w:val="24"/>
              </w:rPr>
              <w:t>Keuangan</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sz w:val="24"/>
                <w:szCs w:val="24"/>
              </w:rPr>
            </w:pPr>
            <w:r>
              <w:rPr>
                <w:rFonts w:hint="default" w:ascii="Arial" w:hAnsi="Arial" w:cs="Arial"/>
                <w:b/>
                <w:color w:val="000000"/>
                <w:sz w:val="24"/>
                <w:szCs w:val="24"/>
              </w:rPr>
              <w:t>(%)</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sz w:val="24"/>
                <w:szCs w:val="24"/>
              </w:rPr>
            </w:pPr>
            <w:r>
              <w:rPr>
                <w:rFonts w:hint="default" w:ascii="Arial" w:hAnsi="Arial" w:cs="Arial"/>
                <w:b/>
                <w:color w:val="000000"/>
                <w:sz w:val="24"/>
                <w:szCs w:val="24"/>
              </w:rPr>
              <w:t>Fisik(%)</w:t>
            </w:r>
          </w:p>
        </w:tc>
      </w:tr>
      <w:tr>
        <w:tblPrEx>
          <w:tblCellMar>
            <w:top w:w="0" w:type="dxa"/>
            <w:left w:w="0" w:type="dxa"/>
            <w:bottom w:w="0" w:type="dxa"/>
            <w:right w:w="0" w:type="dxa"/>
          </w:tblCellMar>
        </w:tblPrEx>
        <w:trPr>
          <w:trHeight w:val="51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1</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b/>
                <w:bCs/>
                <w:sz w:val="24"/>
                <w:szCs w:val="24"/>
              </w:rPr>
            </w:pPr>
            <w:r>
              <w:rPr>
                <w:rFonts w:hint="default" w:ascii="Arial" w:hAnsi="Arial" w:cs="Arial"/>
                <w:b/>
                <w:bCs/>
                <w:color w:val="000000"/>
                <w:sz w:val="24"/>
                <w:szCs w:val="24"/>
              </w:rPr>
              <w:t>Program Pelayanan Administrasi Perkantoran</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621.905.567</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615.688.441</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eastAsia="Century Gothic" w:cs="Arial"/>
                <w:b/>
                <w:bCs/>
                <w:color w:val="000000"/>
                <w:sz w:val="24"/>
                <w:szCs w:val="24"/>
              </w:rPr>
              <w:t>99.00</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100</w:t>
            </w:r>
          </w:p>
        </w:tc>
      </w:tr>
      <w:tr>
        <w:tblPrEx>
          <w:shd w:val="clear" w:color="auto" w:fill="auto"/>
          <w:tblCellMar>
            <w:top w:w="0" w:type="dxa"/>
            <w:left w:w="0" w:type="dxa"/>
            <w:bottom w:w="0" w:type="dxa"/>
            <w:right w:w="0" w:type="dxa"/>
          </w:tblCellMar>
        </w:tblPrEx>
        <w:trPr>
          <w:trHeight w:val="54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2</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b/>
                <w:bCs/>
                <w:sz w:val="24"/>
                <w:szCs w:val="24"/>
              </w:rPr>
            </w:pPr>
            <w:r>
              <w:rPr>
                <w:rFonts w:hint="default" w:ascii="Arial" w:hAnsi="Arial" w:cs="Arial"/>
                <w:b/>
                <w:bCs/>
                <w:color w:val="000000"/>
                <w:sz w:val="24"/>
                <w:szCs w:val="24"/>
              </w:rPr>
              <w:t>Program Peningkatan Sarana dan Prasarana Aparatur</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78.534.000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77.101.497</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eastAsia="Century Gothic" w:cs="Arial"/>
                <w:b/>
                <w:bCs/>
                <w:color w:val="000000"/>
                <w:sz w:val="24"/>
                <w:szCs w:val="24"/>
              </w:rPr>
              <w:t>98,18</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100</w:t>
            </w:r>
          </w:p>
        </w:tc>
      </w:tr>
      <w:tr>
        <w:tblPrEx>
          <w:shd w:val="clear" w:color="auto" w:fill="auto"/>
          <w:tblCellMar>
            <w:top w:w="0" w:type="dxa"/>
            <w:left w:w="0" w:type="dxa"/>
            <w:bottom w:w="0" w:type="dxa"/>
            <w:right w:w="0" w:type="dxa"/>
          </w:tblCellMar>
        </w:tblPrEx>
        <w:trPr>
          <w:trHeight w:val="54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3</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b/>
                <w:bCs/>
                <w:sz w:val="24"/>
                <w:szCs w:val="24"/>
              </w:rPr>
            </w:pPr>
            <w:r>
              <w:rPr>
                <w:rFonts w:hint="default" w:ascii="Arial" w:hAnsi="Arial" w:cs="Arial"/>
                <w:b/>
                <w:bCs/>
                <w:color w:val="000000"/>
                <w:sz w:val="24"/>
                <w:szCs w:val="24"/>
              </w:rPr>
              <w:t>Program Peningkatan Kapasitas Sumber Daya Aparatur</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33.154.600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23.473.400</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70,80</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100</w:t>
            </w:r>
          </w:p>
        </w:tc>
      </w:tr>
      <w:tr>
        <w:tblPrEx>
          <w:shd w:val="clear" w:color="auto" w:fill="auto"/>
          <w:tblCellMar>
            <w:top w:w="0" w:type="dxa"/>
            <w:left w:w="0" w:type="dxa"/>
            <w:bottom w:w="0" w:type="dxa"/>
            <w:right w:w="0" w:type="dxa"/>
          </w:tblCellMar>
        </w:tblPrEx>
        <w:trPr>
          <w:trHeight w:val="820"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4</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b/>
                <w:bCs/>
                <w:sz w:val="24"/>
                <w:szCs w:val="24"/>
              </w:rPr>
            </w:pPr>
            <w:r>
              <w:rPr>
                <w:rFonts w:hint="default" w:ascii="Arial" w:hAnsi="Arial" w:cs="Arial"/>
                <w:b/>
                <w:bCs/>
                <w:color w:val="000000"/>
                <w:sz w:val="24"/>
                <w:szCs w:val="24"/>
              </w:rPr>
              <w:t>Program Peningkatan Pengembangan Sistem Pelaporan Capaian Kinerja dan Keuangan</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336.417.060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329.853.300</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98,05</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100</w:t>
            </w:r>
          </w:p>
        </w:tc>
      </w:tr>
      <w:tr>
        <w:tblPrEx>
          <w:tblCellMar>
            <w:top w:w="0" w:type="dxa"/>
            <w:left w:w="0" w:type="dxa"/>
            <w:bottom w:w="0" w:type="dxa"/>
            <w:right w:w="0" w:type="dxa"/>
          </w:tblCellMar>
        </w:tblPrEx>
        <w:trPr>
          <w:trHeight w:val="54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5</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b/>
                <w:bCs/>
                <w:sz w:val="24"/>
                <w:szCs w:val="24"/>
              </w:rPr>
            </w:pPr>
            <w:r>
              <w:rPr>
                <w:rFonts w:hint="default" w:ascii="Arial" w:hAnsi="Arial" w:cs="Arial"/>
                <w:b/>
                <w:bCs/>
                <w:color w:val="000000"/>
                <w:sz w:val="24"/>
                <w:szCs w:val="24"/>
              </w:rPr>
              <w:t>Program Pengembangan Manajemen Pelayanan Publik</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1.053.366.024</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1.004.171.241</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95,33</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100</w:t>
            </w:r>
          </w:p>
        </w:tc>
      </w:tr>
      <w:tr>
        <w:tblPrEx>
          <w:tblCellMar>
            <w:top w:w="0" w:type="dxa"/>
            <w:left w:w="0" w:type="dxa"/>
            <w:bottom w:w="0" w:type="dxa"/>
            <w:right w:w="0" w:type="dxa"/>
          </w:tblCellMar>
        </w:tblPrEx>
        <w:trPr>
          <w:trHeight w:val="42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lang w:val="zh-CN"/>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lang w:val="zh-CN"/>
              </w:rPr>
            </w:pPr>
            <w:r>
              <w:rPr>
                <w:rFonts w:hint="default" w:ascii="Arial" w:hAnsi="Arial" w:cs="Arial"/>
                <w:color w:val="000000"/>
                <w:sz w:val="24"/>
                <w:szCs w:val="24"/>
                <w:lang w:val="zh-CN"/>
              </w:rPr>
              <w:t>Pelatihan Aplikasi SPSE</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23.680.000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22.570.100</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95,31</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tblCellMar>
            <w:top w:w="0" w:type="dxa"/>
            <w:left w:w="0" w:type="dxa"/>
            <w:bottom w:w="0" w:type="dxa"/>
            <w:right w:w="0" w:type="dxa"/>
          </w:tblCellMar>
        </w:tblPrEx>
        <w:trPr>
          <w:trHeight w:val="54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lang w:val="zh-CN"/>
              </w:rPr>
            </w:pPr>
            <w:r>
              <w:rPr>
                <w:rFonts w:hint="default" w:ascii="Arial" w:hAnsi="Arial" w:cs="Arial"/>
                <w:color w:val="000000"/>
                <w:sz w:val="24"/>
                <w:szCs w:val="24"/>
                <w:lang w:val="zh-CN"/>
              </w:rPr>
              <w:t>Penyusunan, Verifikasi dan Pengendalian Dokumen Rencana Pengadaan (RUP) Provinsi Sumatera Barat</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201.180.000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196.367.678</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97,61</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tblCellMar>
            <w:top w:w="0" w:type="dxa"/>
            <w:left w:w="0" w:type="dxa"/>
            <w:bottom w:w="0" w:type="dxa"/>
            <w:right w:w="0" w:type="dxa"/>
          </w:tblCellMar>
        </w:tblPrEx>
        <w:trPr>
          <w:trHeight w:val="54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lang w:val="zh-CN"/>
              </w:rPr>
            </w:pPr>
            <w:r>
              <w:rPr>
                <w:rFonts w:hint="default" w:ascii="Arial" w:hAnsi="Arial" w:cs="Arial"/>
                <w:color w:val="000000"/>
                <w:sz w:val="24"/>
                <w:szCs w:val="24"/>
                <w:lang w:val="zh-CN"/>
              </w:rPr>
              <w:t>Pembinaan Sumber Daya Manusia dan Kelembagaan Pengadaan Barang dan Jasa</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113.873.861</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103.470.476</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90,86</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shd w:val="clear" w:color="auto" w:fill="auto"/>
          <w:tblCellMar>
            <w:top w:w="0" w:type="dxa"/>
            <w:left w:w="0" w:type="dxa"/>
            <w:bottom w:w="0" w:type="dxa"/>
            <w:right w:w="0" w:type="dxa"/>
          </w:tblCellMar>
        </w:tblPrEx>
        <w:trPr>
          <w:trHeight w:val="54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lang w:val="zh-CN"/>
              </w:rPr>
            </w:pPr>
            <w:r>
              <w:rPr>
                <w:rFonts w:hint="default" w:ascii="Arial" w:hAnsi="Arial" w:cs="Arial"/>
                <w:color w:val="000000"/>
                <w:sz w:val="24"/>
                <w:szCs w:val="24"/>
                <w:lang w:val="zh-CN"/>
              </w:rPr>
              <w:t>Koordinasi Nasional, Regional dan Pembinaan LPSE Provinsi dan Kabupaten/Kota</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40.471.000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39.192.545</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96,84</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shd w:val="clear" w:color="auto" w:fill="auto"/>
          <w:tblCellMar>
            <w:top w:w="0" w:type="dxa"/>
            <w:left w:w="0" w:type="dxa"/>
            <w:bottom w:w="0" w:type="dxa"/>
            <w:right w:w="0" w:type="dxa"/>
          </w:tblCellMar>
        </w:tblPrEx>
        <w:trPr>
          <w:trHeight w:val="54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lang w:val="zh-CN"/>
              </w:rPr>
            </w:pPr>
            <w:r>
              <w:rPr>
                <w:rFonts w:hint="default" w:ascii="Arial" w:hAnsi="Arial"/>
                <w:color w:val="000000"/>
                <w:sz w:val="24"/>
                <w:szCs w:val="24"/>
              </w:rPr>
              <w:t>Penguatan Teknis Aplikasi Pendukung Sistem Pengadaan Secara Elektronik (SPSE</w:t>
            </w:r>
            <w:r>
              <w:rPr>
                <w:rFonts w:hint="default" w:ascii="Arial" w:hAnsi="Arial"/>
                <w:color w:val="000000"/>
                <w:sz w:val="24"/>
                <w:szCs w:val="24"/>
                <w:lang w:val="zh-CN"/>
              </w:rPr>
              <w:t>)</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85.000.000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84.178.811</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99,03</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shd w:val="clear" w:color="auto" w:fill="auto"/>
          <w:tblCellMar>
            <w:top w:w="0" w:type="dxa"/>
            <w:left w:w="0" w:type="dxa"/>
            <w:bottom w:w="0" w:type="dxa"/>
            <w:right w:w="0" w:type="dxa"/>
          </w:tblCellMar>
        </w:tblPrEx>
        <w:trPr>
          <w:trHeight w:val="54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Workshop Peningkatan Kinerja Pokja ULP</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83.148.740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79.481.800</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95,59</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tblCellMar>
            <w:top w:w="0" w:type="dxa"/>
            <w:left w:w="0" w:type="dxa"/>
            <w:bottom w:w="0" w:type="dxa"/>
            <w:right w:w="0" w:type="dxa"/>
          </w:tblCellMar>
        </w:tblPrEx>
        <w:trPr>
          <w:trHeight w:val="54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Monitoring dan Evaluasi Implementasi LPSE Provinsi dan Kabupaten/Kota</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33.025.423</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31.913.295</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96,63</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shd w:val="clear" w:color="auto" w:fill="auto"/>
          <w:tblCellMar>
            <w:top w:w="0" w:type="dxa"/>
            <w:left w:w="0" w:type="dxa"/>
            <w:bottom w:w="0" w:type="dxa"/>
            <w:right w:w="0" w:type="dxa"/>
          </w:tblCellMar>
        </w:tblPrEx>
        <w:trPr>
          <w:trHeight w:val="54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Peningkatan SDM Tim Pengelola LPSE Provinsi dan Kab/Kota</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39.417.400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36.594.545</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92.84</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shd w:val="clear" w:color="auto" w:fill="auto"/>
          <w:tblCellMar>
            <w:top w:w="0" w:type="dxa"/>
            <w:left w:w="0" w:type="dxa"/>
            <w:bottom w:w="0" w:type="dxa"/>
            <w:right w:w="0" w:type="dxa"/>
          </w:tblCellMar>
        </w:tblPrEx>
        <w:trPr>
          <w:trHeight w:val="54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Penguatan Teknis Aplikasi dan Jaringan Sistem Pengadaan Secara Elektronik (SPSE)</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150.000.000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146.986.488</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97,99</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tblCellMar>
            <w:top w:w="0" w:type="dxa"/>
            <w:left w:w="0" w:type="dxa"/>
            <w:bottom w:w="0" w:type="dxa"/>
            <w:right w:w="0" w:type="dxa"/>
          </w:tblCellMar>
        </w:tblPrEx>
        <w:trPr>
          <w:trHeight w:val="54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Pengelolaan Pengadaan Barang dan Jasa Pemerintah</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243.789.600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231.771.503</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95,07</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shd w:val="clear" w:color="auto" w:fill="auto"/>
          <w:tblCellMar>
            <w:top w:w="0" w:type="dxa"/>
            <w:left w:w="0" w:type="dxa"/>
            <w:bottom w:w="0" w:type="dxa"/>
            <w:right w:w="0" w:type="dxa"/>
          </w:tblCellMar>
        </w:tblPrEx>
        <w:trPr>
          <w:trHeight w:val="54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Pengendalian dan Monitoring Pelaksanaan Pengadaan Barang dan Jasa Pemerintah</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39.780.000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31.644.000</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79,55</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100</w:t>
            </w:r>
          </w:p>
        </w:tc>
      </w:tr>
      <w:tr>
        <w:tblPrEx>
          <w:shd w:val="clear" w:color="auto" w:fill="auto"/>
          <w:tblCellMar>
            <w:top w:w="0" w:type="dxa"/>
            <w:left w:w="0" w:type="dxa"/>
            <w:bottom w:w="0" w:type="dxa"/>
            <w:right w:w="0" w:type="dxa"/>
          </w:tblCellMar>
        </w:tblPrEx>
        <w:trPr>
          <w:trHeight w:val="662"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6</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b/>
                <w:bCs/>
                <w:sz w:val="24"/>
                <w:szCs w:val="24"/>
              </w:rPr>
            </w:pPr>
            <w:r>
              <w:rPr>
                <w:rFonts w:hint="default" w:ascii="Arial" w:hAnsi="Arial" w:cs="Arial"/>
                <w:b/>
                <w:bCs/>
                <w:color w:val="000000"/>
                <w:sz w:val="24"/>
                <w:szCs w:val="24"/>
              </w:rPr>
              <w:t>Program Peningkatan Kinerja Perangkat Daerah dan Ketatalaksanaan Pemda</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1.383.067.150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1.302.248.692</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94,16</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100</w:t>
            </w:r>
          </w:p>
        </w:tc>
      </w:tr>
      <w:tr>
        <w:tblPrEx>
          <w:shd w:val="clear" w:color="auto" w:fill="auto"/>
          <w:tblCellMar>
            <w:top w:w="0" w:type="dxa"/>
            <w:left w:w="0" w:type="dxa"/>
            <w:bottom w:w="0" w:type="dxa"/>
            <w:right w:w="0" w:type="dxa"/>
          </w:tblCellMar>
        </w:tblPrEx>
        <w:trPr>
          <w:trHeight w:val="662"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lang w:val="zh-CN"/>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Legalitas kepemilikan Tanah Pemerintaj Daerah / Pensertifikatan Tanah</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157.192.900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153.521.506</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97,66</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shd w:val="clear" w:color="auto" w:fill="auto"/>
          <w:tblCellMar>
            <w:top w:w="0" w:type="dxa"/>
            <w:left w:w="0" w:type="dxa"/>
            <w:bottom w:w="0" w:type="dxa"/>
            <w:right w:w="0" w:type="dxa"/>
          </w:tblCellMar>
        </w:tblPrEx>
        <w:trPr>
          <w:trHeight w:val="662"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Administrasi Penghapusan dan Pelelangan Barang Inventaris Daerah</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164.152.600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162.410.123</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98,94</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tblCellMar>
            <w:top w:w="0" w:type="dxa"/>
            <w:left w:w="0" w:type="dxa"/>
            <w:bottom w:w="0" w:type="dxa"/>
            <w:right w:w="0" w:type="dxa"/>
          </w:tblCellMar>
        </w:tblPrEx>
        <w:trPr>
          <w:trHeight w:val="662"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Administrasi Pemindahtanganan Barang milik Daerah</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229.977.540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226.237.485</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98,37</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tblCellMar>
            <w:top w:w="0" w:type="dxa"/>
            <w:left w:w="0" w:type="dxa"/>
            <w:bottom w:w="0" w:type="dxa"/>
            <w:right w:w="0" w:type="dxa"/>
          </w:tblCellMar>
        </w:tblPrEx>
        <w:trPr>
          <w:trHeight w:val="662"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Administrasi Pemanfaatan Barang Milik Daerah</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254.800.000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253.836.751</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99,62</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shd w:val="clear" w:color="auto" w:fill="auto"/>
          <w:tblCellMar>
            <w:top w:w="0" w:type="dxa"/>
            <w:left w:w="0" w:type="dxa"/>
            <w:bottom w:w="0" w:type="dxa"/>
            <w:right w:w="0" w:type="dxa"/>
          </w:tblCellMar>
        </w:tblPrEx>
        <w:trPr>
          <w:trHeight w:val="662"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Pengamanan dan Pemeliharaan Barang Milik Daerah</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284.778.800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233.264.450</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81,91</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tblCellMar>
            <w:top w:w="0" w:type="dxa"/>
            <w:left w:w="0" w:type="dxa"/>
            <w:bottom w:w="0" w:type="dxa"/>
            <w:right w:w="0" w:type="dxa"/>
          </w:tblCellMar>
        </w:tblPrEx>
        <w:trPr>
          <w:trHeight w:val="380"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olor w:val="000000"/>
                <w:sz w:val="24"/>
                <w:szCs w:val="24"/>
              </w:rPr>
            </w:pPr>
            <w:r>
              <w:rPr>
                <w:rFonts w:hint="default" w:ascii="Arial" w:hAnsi="Arial"/>
                <w:color w:val="000000"/>
                <w:sz w:val="24"/>
                <w:szCs w:val="24"/>
              </w:rPr>
              <w:t>Pembinaan Pengelolaan Barang Milik Daerah</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180.221.120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169.362.601</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93,97</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shd w:val="clear" w:color="auto" w:fill="auto"/>
          <w:tblCellMar>
            <w:top w:w="0" w:type="dxa"/>
            <w:left w:w="0" w:type="dxa"/>
            <w:bottom w:w="0" w:type="dxa"/>
            <w:right w:w="0" w:type="dxa"/>
          </w:tblCellMar>
        </w:tblPrEx>
        <w:trPr>
          <w:trHeight w:val="662"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olor w:val="000000"/>
                <w:sz w:val="24"/>
                <w:szCs w:val="24"/>
              </w:rPr>
            </w:pPr>
            <w:r>
              <w:rPr>
                <w:rFonts w:hint="default" w:ascii="Arial" w:hAnsi="Arial"/>
                <w:color w:val="000000"/>
                <w:sz w:val="24"/>
                <w:szCs w:val="24"/>
              </w:rPr>
              <w:t>Pengembangan Geographic Information Sistim (GIS) unt</w:t>
            </w:r>
            <w:r>
              <w:rPr>
                <w:rFonts w:hint="default" w:ascii="Arial" w:hAnsi="Arial"/>
                <w:color w:val="000000"/>
                <w:sz w:val="24"/>
                <w:szCs w:val="24"/>
                <w:lang w:val="zh-CN"/>
              </w:rPr>
              <w:t>u</w:t>
            </w:r>
            <w:r>
              <w:rPr>
                <w:rFonts w:hint="default" w:ascii="Arial" w:hAnsi="Arial"/>
                <w:color w:val="000000"/>
                <w:sz w:val="24"/>
                <w:szCs w:val="24"/>
              </w:rPr>
              <w:t>k BMD</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61.274.550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59.826.200</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97,64</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shd w:val="clear" w:color="auto" w:fill="auto"/>
          <w:tblCellMar>
            <w:top w:w="0" w:type="dxa"/>
            <w:left w:w="0" w:type="dxa"/>
            <w:bottom w:w="0" w:type="dxa"/>
            <w:right w:w="0" w:type="dxa"/>
          </w:tblCellMar>
        </w:tblPrEx>
        <w:trPr>
          <w:trHeight w:val="662"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Penerbitan Surat Izin Penghunian R</w:t>
            </w:r>
            <w:bookmarkStart w:id="0" w:name="_GoBack"/>
            <w:bookmarkEnd w:id="0"/>
            <w:r>
              <w:rPr>
                <w:rFonts w:hint="default" w:ascii="Arial" w:hAnsi="Arial"/>
                <w:color w:val="000000"/>
                <w:sz w:val="24"/>
                <w:szCs w:val="24"/>
              </w:rPr>
              <w:t>umah Dinas</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50.669.640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43.789.576</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86,42</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shd w:val="clear" w:color="auto" w:fill="auto"/>
          <w:tblCellMar>
            <w:top w:w="0" w:type="dxa"/>
            <w:left w:w="0" w:type="dxa"/>
            <w:bottom w:w="0" w:type="dxa"/>
            <w:right w:w="0" w:type="dxa"/>
          </w:tblCellMar>
        </w:tblPrEx>
        <w:trPr>
          <w:trHeight w:val="65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7</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b/>
                <w:bCs/>
                <w:sz w:val="24"/>
                <w:szCs w:val="24"/>
              </w:rPr>
            </w:pPr>
            <w:r>
              <w:rPr>
                <w:rFonts w:hint="default" w:ascii="Arial" w:hAnsi="Arial" w:cs="Arial"/>
                <w:b/>
                <w:bCs/>
                <w:color w:val="000000"/>
                <w:sz w:val="24"/>
                <w:szCs w:val="24"/>
              </w:rPr>
              <w:t>Program Peningkatan Manajemen Penyelenggaraan Pemerintah Daerah</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1.302.805.543</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1.272.177.385</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bCs/>
                <w:sz w:val="24"/>
                <w:szCs w:val="24"/>
              </w:rPr>
            </w:pPr>
            <w:r>
              <w:rPr>
                <w:rFonts w:hint="default" w:ascii="Arial" w:hAnsi="Arial" w:cs="Arial"/>
                <w:b/>
                <w:bCs/>
                <w:color w:val="000000"/>
                <w:sz w:val="24"/>
                <w:szCs w:val="24"/>
              </w:rPr>
              <w:t>97,65</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bCs/>
                <w:sz w:val="24"/>
                <w:szCs w:val="24"/>
                <w:lang w:val="en-US" w:eastAsia="en-US" w:bidi="ar-SA"/>
              </w:rPr>
            </w:pPr>
            <w:r>
              <w:rPr>
                <w:rFonts w:hint="default" w:ascii="Arial" w:hAnsi="Arial" w:cs="Arial"/>
                <w:b/>
                <w:bCs/>
                <w:color w:val="000000"/>
                <w:sz w:val="24"/>
                <w:szCs w:val="24"/>
              </w:rPr>
              <w:t>100</w:t>
            </w:r>
          </w:p>
        </w:tc>
      </w:tr>
      <w:tr>
        <w:tblPrEx>
          <w:shd w:val="clear" w:color="auto" w:fill="auto"/>
          <w:tblCellMar>
            <w:top w:w="0" w:type="dxa"/>
            <w:left w:w="0" w:type="dxa"/>
            <w:bottom w:w="0" w:type="dxa"/>
            <w:right w:w="0" w:type="dxa"/>
          </w:tblCellMar>
        </w:tblPrEx>
        <w:trPr>
          <w:trHeight w:val="669"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Penyusunan Perencanaan Kebutuhan Barang Milik Daerah</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391.985.593</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385.320.330</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98,8</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shd w:val="clear" w:color="auto" w:fill="auto"/>
          <w:tblCellMar>
            <w:top w:w="0" w:type="dxa"/>
            <w:left w:w="0" w:type="dxa"/>
            <w:bottom w:w="0" w:type="dxa"/>
            <w:right w:w="0" w:type="dxa"/>
          </w:tblCellMar>
        </w:tblPrEx>
        <w:trPr>
          <w:trHeight w:val="429"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Pelaporan dan verifikasi hasil sensus BMD</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31.230.300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30.600.200</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97,98</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shd w:val="clear" w:color="auto" w:fill="auto"/>
          <w:tblCellMar>
            <w:top w:w="0" w:type="dxa"/>
            <w:left w:w="0" w:type="dxa"/>
            <w:bottom w:w="0" w:type="dxa"/>
            <w:right w:w="0" w:type="dxa"/>
          </w:tblCellMar>
        </w:tblPrEx>
        <w:trPr>
          <w:trHeight w:val="579"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Penyusunan Buku Standarisasi Barang dan Jasa</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133.890.000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122.677.200</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91,63</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tblCellMar>
            <w:top w:w="0" w:type="dxa"/>
            <w:left w:w="0" w:type="dxa"/>
            <w:bottom w:w="0" w:type="dxa"/>
            <w:right w:w="0" w:type="dxa"/>
          </w:tblCellMar>
        </w:tblPrEx>
        <w:trPr>
          <w:trHeight w:val="639"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Rekonsiliasi dan Inventarisasi Aset SKPD Provinsi Sumatera Barat</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407.977.450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406.821.605</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99,71</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tblCellMar>
            <w:top w:w="0" w:type="dxa"/>
            <w:left w:w="0" w:type="dxa"/>
            <w:bottom w:w="0" w:type="dxa"/>
            <w:right w:w="0" w:type="dxa"/>
          </w:tblCellMar>
        </w:tblPrEx>
        <w:trPr>
          <w:trHeight w:val="38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Penilaian Aset Daerah</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97.362.700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92.844.138</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95,36</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tblCellMar>
            <w:top w:w="0" w:type="dxa"/>
            <w:left w:w="0" w:type="dxa"/>
            <w:bottom w:w="0" w:type="dxa"/>
            <w:right w:w="0" w:type="dxa"/>
          </w:tblCellMar>
        </w:tblPrEx>
        <w:trPr>
          <w:trHeight w:val="654" w:hRule="atLeast"/>
          <w:tblCellSpacing w:w="0" w:type="dxa"/>
        </w:trPr>
        <w:tc>
          <w:tcPr>
            <w:tcW w:w="413"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color w:val="000000"/>
                <w:sz w:val="24"/>
                <w:szCs w:val="24"/>
              </w:rPr>
            </w:pPr>
            <w:r>
              <w:rPr>
                <w:rFonts w:hint="default" w:ascii="Arial" w:hAnsi="Arial" w:cs="Arial"/>
                <w:color w:val="000000"/>
                <w:sz w:val="24"/>
                <w:szCs w:val="24"/>
                <w:lang w:val="zh-CN"/>
              </w:rPr>
              <w:t>-</w:t>
            </w:r>
          </w:p>
        </w:tc>
        <w:tc>
          <w:tcPr>
            <w:tcW w:w="49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rPr>
                <w:rFonts w:hint="default" w:ascii="Arial" w:hAnsi="Arial" w:cs="Arial"/>
                <w:color w:val="000000"/>
                <w:sz w:val="24"/>
                <w:szCs w:val="24"/>
              </w:rPr>
            </w:pPr>
            <w:r>
              <w:rPr>
                <w:rFonts w:hint="default" w:ascii="Arial" w:hAnsi="Arial"/>
                <w:color w:val="000000"/>
                <w:sz w:val="24"/>
                <w:szCs w:val="24"/>
              </w:rPr>
              <w:t>Pengembangan Sistem Informasi Barang Milik Pemerintah Provinsi Sumatera Barat</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240.339.500</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233.913.912</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b w:val="0"/>
                <w:bCs w:val="0"/>
                <w:color w:val="000000"/>
                <w:sz w:val="24"/>
                <w:szCs w:val="24"/>
                <w:lang w:val="en-ID"/>
              </w:rPr>
            </w:pPr>
            <w:r>
              <w:rPr>
                <w:rFonts w:hint="default" w:ascii="Arial" w:hAnsi="Arial" w:cs="Arial"/>
                <w:b w:val="0"/>
                <w:bCs w:val="0"/>
                <w:color w:val="000000"/>
                <w:sz w:val="24"/>
                <w:szCs w:val="24"/>
                <w:lang w:val="en-ID"/>
              </w:rPr>
              <w:t>97,33</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eastAsia="Times New Roman" w:cs="Arial"/>
                <w:b w:val="0"/>
                <w:bCs w:val="0"/>
                <w:sz w:val="24"/>
                <w:szCs w:val="24"/>
                <w:lang w:val="en-US" w:eastAsia="en-US" w:bidi="ar-SA"/>
              </w:rPr>
            </w:pPr>
            <w:r>
              <w:rPr>
                <w:rFonts w:hint="default" w:ascii="Arial" w:hAnsi="Arial" w:cs="Arial"/>
                <w:b w:val="0"/>
                <w:bCs w:val="0"/>
                <w:color w:val="000000"/>
                <w:sz w:val="24"/>
                <w:szCs w:val="24"/>
              </w:rPr>
              <w:t>100</w:t>
            </w:r>
          </w:p>
        </w:tc>
      </w:tr>
      <w:tr>
        <w:tblPrEx>
          <w:tblCellMar>
            <w:top w:w="0" w:type="dxa"/>
            <w:left w:w="0" w:type="dxa"/>
            <w:bottom w:w="0" w:type="dxa"/>
            <w:right w:w="0" w:type="dxa"/>
          </w:tblCellMar>
        </w:tblPrEx>
        <w:trPr>
          <w:trHeight w:val="445" w:hRule="atLeast"/>
          <w:tblCellSpacing w:w="0" w:type="dxa"/>
        </w:trPr>
        <w:tc>
          <w:tcPr>
            <w:tcW w:w="5393" w:type="dxa"/>
            <w:gridSpan w:val="2"/>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sz w:val="24"/>
                <w:szCs w:val="24"/>
              </w:rPr>
            </w:pPr>
            <w:r>
              <w:rPr>
                <w:rFonts w:hint="default" w:ascii="Arial" w:hAnsi="Arial" w:cs="Arial"/>
                <w:b/>
                <w:color w:val="000000"/>
                <w:sz w:val="24"/>
                <w:szCs w:val="24"/>
              </w:rPr>
              <w:t>JUMLAH</w:t>
            </w:r>
          </w:p>
        </w:tc>
        <w:tc>
          <w:tcPr>
            <w:tcW w:w="166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sz w:val="24"/>
                <w:szCs w:val="24"/>
              </w:rPr>
            </w:pPr>
            <w:r>
              <w:rPr>
                <w:rFonts w:hint="default" w:ascii="Arial" w:hAnsi="Arial" w:cs="Arial"/>
                <w:b/>
                <w:color w:val="000000"/>
                <w:sz w:val="24"/>
                <w:szCs w:val="24"/>
              </w:rPr>
              <w:t>4.809.249.944</w:t>
            </w:r>
          </w:p>
        </w:tc>
        <w:tc>
          <w:tcPr>
            <w:tcW w:w="162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sz w:val="24"/>
                <w:szCs w:val="24"/>
              </w:rPr>
            </w:pPr>
            <w:r>
              <w:rPr>
                <w:rFonts w:hint="default" w:ascii="Arial" w:hAnsi="Arial" w:cs="Arial"/>
                <w:b/>
                <w:color w:val="000000"/>
                <w:sz w:val="24"/>
                <w:szCs w:val="24"/>
              </w:rPr>
              <w:t>4.624.713.956</w:t>
            </w:r>
          </w:p>
        </w:tc>
        <w:tc>
          <w:tcPr>
            <w:tcW w:w="945"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sz w:val="24"/>
                <w:szCs w:val="24"/>
              </w:rPr>
            </w:pPr>
            <w:r>
              <w:rPr>
                <w:rFonts w:hint="default" w:ascii="Arial" w:hAnsi="Arial" w:eastAsia="Century Gothic" w:cs="Arial"/>
                <w:b/>
                <w:color w:val="000000"/>
                <w:sz w:val="24"/>
                <w:szCs w:val="24"/>
              </w:rPr>
              <w:t>96,16</w:t>
            </w:r>
          </w:p>
        </w:tc>
        <w:tc>
          <w:tcPr>
            <w:tcW w:w="1080" w:type="dxa"/>
            <w:tcBorders>
              <w:top w:val="single" w:color="000000" w:sz="6" w:space="0"/>
              <w:left w:val="single" w:color="000000" w:sz="6" w:space="0"/>
              <w:bottom w:val="single" w:color="000000" w:sz="6" w:space="0"/>
              <w:right w:val="single" w:color="000000" w:sz="6" w:space="0"/>
            </w:tcBorders>
            <w:shd w:val="clear" w:color="auto" w:fill="FFFFFF"/>
            <w:vAlign w:val="center"/>
          </w:tcPr>
          <w:p>
            <w:pPr>
              <w:pStyle w:val="10"/>
              <w:keepNext w:val="0"/>
              <w:keepLines w:val="0"/>
              <w:widowControl/>
              <w:suppressLineNumbers w:val="0"/>
              <w:jc w:val="center"/>
              <w:rPr>
                <w:rFonts w:hint="default" w:ascii="Arial" w:hAnsi="Arial" w:cs="Arial"/>
                <w:sz w:val="24"/>
                <w:szCs w:val="24"/>
              </w:rPr>
            </w:pPr>
            <w:r>
              <w:rPr>
                <w:rFonts w:hint="default" w:ascii="Arial" w:hAnsi="Arial" w:eastAsia="Century Gothic" w:cs="Arial"/>
                <w:b/>
                <w:color w:val="000000"/>
                <w:sz w:val="24"/>
                <w:szCs w:val="24"/>
              </w:rPr>
              <w:t>100</w:t>
            </w:r>
          </w:p>
        </w:tc>
      </w:tr>
    </w:tbl>
    <w:p>
      <w:pPr>
        <w:pStyle w:val="25"/>
        <w:spacing w:after="0" w:line="240" w:lineRule="auto"/>
        <w:ind w:left="0" w:leftChars="0" w:firstLine="0" w:firstLineChars="0"/>
        <w:jc w:val="both"/>
        <w:rPr>
          <w:rFonts w:ascii="Arial" w:hAnsi="Arial" w:cs="Arial"/>
          <w:b/>
          <w:color w:val="000000" w:themeColor="text1"/>
          <w14:textFill>
            <w14:solidFill>
              <w14:schemeClr w14:val="tx1"/>
            </w14:solidFill>
          </w14:textFill>
        </w:rPr>
      </w:pPr>
    </w:p>
    <w:p>
      <w:pPr>
        <w:pStyle w:val="25"/>
        <w:numPr>
          <w:ilvl w:val="0"/>
          <w:numId w:val="1"/>
        </w:numPr>
        <w:spacing w:after="0" w:line="240" w:lineRule="auto"/>
        <w:ind w:left="567" w:hanging="567"/>
        <w:jc w:val="both"/>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 xml:space="preserve">Outcome </w:t>
      </w:r>
    </w:p>
    <w:p>
      <w:pPr>
        <w:pStyle w:val="25"/>
        <w:spacing w:after="0" w:line="240" w:lineRule="auto"/>
        <w:ind w:left="567"/>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Dengan dilaksanakannya Program/kegitan yang mendukung Urusan </w:t>
      </w:r>
      <w:r>
        <w:rPr>
          <w:rFonts w:hint="default" w:ascii="Arial" w:hAnsi="Arial" w:cs="Arial"/>
          <w:color w:val="000000" w:themeColor="text1"/>
          <w:lang w:val="zh-CN"/>
          <w14:textFill>
            <w14:solidFill>
              <w14:schemeClr w14:val="tx1"/>
            </w14:solidFill>
          </w14:textFill>
        </w:rPr>
        <w:t>Pengelolaan Barang Milik Daerah</w:t>
      </w:r>
      <w:r>
        <w:rPr>
          <w:rFonts w:ascii="Arial" w:hAnsi="Arial" w:cs="Arial"/>
          <w:color w:val="000000" w:themeColor="text1"/>
          <w14:textFill>
            <w14:solidFill>
              <w14:schemeClr w14:val="tx1"/>
            </w14:solidFill>
          </w14:textFill>
        </w:rPr>
        <w:t xml:space="preserve"> pada tahun 201</w:t>
      </w:r>
      <w:r>
        <w:rPr>
          <w:rFonts w:hint="default" w:ascii="Arial" w:hAnsi="Arial" w:cs="Arial"/>
          <w:color w:val="000000" w:themeColor="text1"/>
          <w:lang w:val="zh-CN"/>
          <w14:textFill>
            <w14:solidFill>
              <w14:schemeClr w14:val="tx1"/>
            </w14:solidFill>
          </w14:textFill>
        </w:rPr>
        <w:t>9</w:t>
      </w:r>
      <w:r>
        <w:rPr>
          <w:rFonts w:ascii="Arial" w:hAnsi="Arial" w:cs="Arial"/>
          <w:color w:val="000000" w:themeColor="text1"/>
          <w14:textFill>
            <w14:solidFill>
              <w14:schemeClr w14:val="tx1"/>
            </w14:solidFill>
          </w14:textFill>
        </w:rPr>
        <w:t xml:space="preserve"> telah didapat </w:t>
      </w:r>
      <w:r>
        <w:rPr>
          <w:rFonts w:ascii="Arial" w:hAnsi="Arial" w:cs="Arial"/>
        </w:rPr>
        <w:t>hasil setelah pelaksanaan program, diantaranya :</w:t>
      </w:r>
    </w:p>
    <w:p>
      <w:pPr>
        <w:pStyle w:val="25"/>
        <w:numPr>
          <w:ilvl w:val="0"/>
          <w:numId w:val="4"/>
        </w:numPr>
        <w:spacing w:before="60" w:after="60"/>
        <w:ind w:left="1134" w:hanging="567"/>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 xml:space="preserve">Terbitnya 4 sertifikat  tanah milik Pemerintah Provinsi Sumatera Barat yang baru sehingga jumlah tanah yang sudah bersertifikat berjumlah 262 persil tanah, sedangkan untuk tanah yang belum bersertifikat sebanyak 141 persil tanah. </w:t>
      </w:r>
    </w:p>
    <w:p>
      <w:pPr>
        <w:pStyle w:val="25"/>
        <w:numPr>
          <w:ilvl w:val="0"/>
          <w:numId w:val="4"/>
        </w:numPr>
        <w:spacing w:before="60" w:after="60"/>
        <w:ind w:left="1134" w:hanging="567"/>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Telah dilakukannya pengamanan dan pemeliharaan tanah milik pemerintah Provinsi Sumatera Barat berupa pemasangan plang tanah sebanyak 50 plang tanah.</w:t>
      </w:r>
    </w:p>
    <w:p>
      <w:pPr>
        <w:pStyle w:val="25"/>
        <w:numPr>
          <w:ilvl w:val="0"/>
          <w:numId w:val="4"/>
        </w:numPr>
        <w:spacing w:before="60" w:after="60"/>
        <w:ind w:left="1134" w:hanging="567"/>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Tersedianya data aset milik Pemerintah Provinsi Sumatera Barat yang valid, akuntabel dan dapat dipertanggungjawabkan di dalam aplikasi SIMBADA</w:t>
      </w:r>
    </w:p>
    <w:p>
      <w:pPr>
        <w:pStyle w:val="25"/>
        <w:numPr>
          <w:ilvl w:val="0"/>
          <w:numId w:val="4"/>
        </w:numPr>
        <w:spacing w:before="60" w:after="60"/>
        <w:ind w:left="1134" w:hanging="567"/>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Tersedianya buku standarisasi harga barang jasa sebagai dasar peyusunan dokumen perancanaan anggaran</w:t>
      </w:r>
    </w:p>
    <w:p>
      <w:pPr>
        <w:pStyle w:val="25"/>
        <w:numPr>
          <w:ilvl w:val="0"/>
          <w:numId w:val="4"/>
        </w:numPr>
        <w:spacing w:before="60" w:after="60"/>
        <w:ind w:left="1134" w:hanging="567"/>
        <w:contextualSpacing w:val="0"/>
        <w:jc w:val="both"/>
        <w:rPr>
          <w:rFonts w:ascii="Arial" w:hAnsi="Arial" w:cs="Arial"/>
          <w:color w:val="000000" w:themeColor="text1"/>
          <w14:textFill>
            <w14:solidFill>
              <w14:schemeClr w14:val="tx1"/>
            </w14:solidFill>
          </w14:textFill>
        </w:rPr>
      </w:pPr>
      <w:r>
        <w:rPr>
          <w:rFonts w:hint="default" w:ascii="Arial" w:hAnsi="Arial" w:cs="Arial"/>
          <w:color w:val="000000" w:themeColor="text1"/>
          <w:lang w:val="zh-CN"/>
          <w14:textFill>
            <w14:solidFill>
              <w14:schemeClr w14:val="tx1"/>
            </w14:solidFill>
          </w14:textFill>
        </w:rPr>
        <w:t xml:space="preserve">Terlaksananya proses pengadaan barang dan jasa yang tepat waktu </w:t>
      </w:r>
    </w:p>
    <w:p>
      <w:pPr>
        <w:pStyle w:val="25"/>
        <w:spacing w:after="0" w:line="240" w:lineRule="auto"/>
        <w:ind w:left="567"/>
        <w:jc w:val="both"/>
        <w:rPr>
          <w:rFonts w:ascii="Arial" w:hAnsi="Arial" w:cs="Arial"/>
          <w:b/>
          <w:color w:val="000000" w:themeColor="text1"/>
          <w14:textFill>
            <w14:solidFill>
              <w14:schemeClr w14:val="tx1"/>
            </w14:solidFill>
          </w14:textFill>
        </w:rPr>
      </w:pPr>
    </w:p>
    <w:p>
      <w:pPr>
        <w:pStyle w:val="25"/>
        <w:numPr>
          <w:ilvl w:val="0"/>
          <w:numId w:val="1"/>
        </w:numPr>
        <w:spacing w:after="0" w:line="240" w:lineRule="auto"/>
        <w:ind w:left="567" w:hanging="567"/>
        <w:jc w:val="both"/>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Capaian Indikator Kinerja daerah</w:t>
      </w:r>
    </w:p>
    <w:p>
      <w:pPr>
        <w:pStyle w:val="25"/>
        <w:numPr>
          <w:ilvl w:val="0"/>
          <w:numId w:val="0"/>
        </w:numPr>
        <w:spacing w:after="0" w:line="240" w:lineRule="auto"/>
        <w:contextualSpacing/>
        <w:jc w:val="both"/>
        <w:rPr>
          <w:rFonts w:ascii="Arial" w:hAnsi="Arial" w:cs="Arial"/>
          <w:b/>
          <w:color w:val="000000" w:themeColor="text1"/>
          <w14:textFill>
            <w14:solidFill>
              <w14:schemeClr w14:val="tx1"/>
            </w14:solidFill>
          </w14:textFill>
        </w:rPr>
      </w:pPr>
    </w:p>
    <w:p>
      <w:pPr>
        <w:pStyle w:val="25"/>
        <w:spacing w:after="360" w:line="360" w:lineRule="auto"/>
        <w:ind w:left="0" w:firstLine="720"/>
        <w:contextualSpacing w:val="0"/>
        <w:jc w:val="both"/>
        <w:rPr>
          <w:rFonts w:hint="default" w:ascii="Arial" w:hAnsi="Arial" w:eastAsia="Arial Unicode MS" w:cs="Arial"/>
          <w:sz w:val="24"/>
          <w:szCs w:val="24"/>
          <w:lang w:val="zh-CN"/>
        </w:rPr>
      </w:pPr>
      <w:r>
        <w:rPr>
          <w:rFonts w:hint="default" w:ascii="Arial" w:hAnsi="Arial" w:eastAsia="Arial Unicode MS" w:cs="Arial"/>
          <w:sz w:val="24"/>
          <w:szCs w:val="24"/>
          <w:lang w:val="id-ID"/>
        </w:rPr>
        <w:t xml:space="preserve">Pengukuran pencapaian target indikator kinerja sasaran strategis </w:t>
      </w:r>
      <w:r>
        <w:rPr>
          <w:rFonts w:hint="default" w:ascii="Arial" w:hAnsi="Arial" w:cs="Arial"/>
          <w:color w:val="000000"/>
          <w:sz w:val="24"/>
          <w:szCs w:val="24"/>
        </w:rPr>
        <w:t>Biro Administrasi Pengadaan dan Pengelolaan Barang Milik Daerah</w:t>
      </w:r>
      <w:r>
        <w:rPr>
          <w:rFonts w:hint="default" w:ascii="Arial" w:hAnsi="Arial" w:eastAsia="Arial Unicode MS" w:cs="Arial"/>
          <w:sz w:val="24"/>
          <w:szCs w:val="24"/>
          <w:lang w:val="id-ID"/>
        </w:rPr>
        <w:t xml:space="preserve"> Tahun 201</w:t>
      </w:r>
      <w:r>
        <w:rPr>
          <w:rFonts w:hint="default" w:ascii="Arial" w:hAnsi="Arial" w:eastAsia="Arial Unicode MS" w:cs="Arial"/>
          <w:sz w:val="24"/>
          <w:szCs w:val="24"/>
          <w:lang w:val="zh-CN"/>
        </w:rPr>
        <w:t>9</w:t>
      </w:r>
      <w:r>
        <w:rPr>
          <w:rFonts w:hint="default" w:ascii="Arial" w:hAnsi="Arial" w:eastAsia="Arial Unicode MS" w:cs="Arial"/>
          <w:sz w:val="24"/>
          <w:szCs w:val="24"/>
          <w:lang w:val="id-ID"/>
        </w:rPr>
        <w:t xml:space="preserve"> dilakukan hanya terhadap target indikator kinerja yang ditetapkan dalam Dokumen Penetapan Kinerja </w:t>
      </w:r>
      <w:r>
        <w:rPr>
          <w:rFonts w:hint="default" w:ascii="Arial" w:hAnsi="Arial" w:cs="Arial"/>
          <w:color w:val="000000"/>
          <w:sz w:val="24"/>
          <w:szCs w:val="24"/>
        </w:rPr>
        <w:t>Biro Administrasi Pengadaan dan Pengelolaan Barang Milik Daerah</w:t>
      </w:r>
      <w:r>
        <w:rPr>
          <w:rFonts w:hint="default" w:ascii="Arial" w:hAnsi="Arial" w:eastAsia="Arial Unicode MS" w:cs="Arial"/>
          <w:sz w:val="24"/>
          <w:szCs w:val="24"/>
          <w:lang w:val="id-ID"/>
        </w:rPr>
        <w:t xml:space="preserve"> Sekretariat Daerah Provinsi Sumatera Barat Tahun 201</w:t>
      </w:r>
      <w:r>
        <w:rPr>
          <w:rFonts w:hint="default" w:ascii="Arial" w:hAnsi="Arial" w:eastAsia="Arial Unicode MS" w:cs="Arial"/>
          <w:sz w:val="24"/>
          <w:szCs w:val="24"/>
          <w:lang w:val="zh-CN"/>
        </w:rPr>
        <w:t>9</w:t>
      </w:r>
      <w:r>
        <w:rPr>
          <w:rFonts w:hint="default" w:ascii="Arial" w:hAnsi="Arial" w:eastAsia="Arial Unicode MS" w:cs="Arial"/>
          <w:sz w:val="24"/>
          <w:szCs w:val="24"/>
          <w:lang w:val="id-ID"/>
        </w:rPr>
        <w:t xml:space="preserve"> yang terdiri dari </w:t>
      </w:r>
      <w:r>
        <w:rPr>
          <w:rFonts w:hint="default" w:ascii="Arial" w:hAnsi="Arial" w:eastAsia="Arial Unicode MS" w:cs="Arial"/>
          <w:sz w:val="24"/>
          <w:szCs w:val="24"/>
        </w:rPr>
        <w:t>2</w:t>
      </w:r>
      <w:r>
        <w:rPr>
          <w:rFonts w:hint="default" w:ascii="Arial" w:hAnsi="Arial" w:eastAsia="Arial Unicode MS" w:cs="Arial"/>
          <w:sz w:val="24"/>
          <w:szCs w:val="24"/>
          <w:lang w:val="id-ID"/>
        </w:rPr>
        <w:t xml:space="preserve"> (</w:t>
      </w:r>
      <w:r>
        <w:rPr>
          <w:rFonts w:hint="default" w:ascii="Arial" w:hAnsi="Arial" w:eastAsia="Arial Unicode MS" w:cs="Arial"/>
          <w:sz w:val="24"/>
          <w:szCs w:val="24"/>
        </w:rPr>
        <w:t>dua</w:t>
      </w:r>
      <w:r>
        <w:rPr>
          <w:rFonts w:hint="default" w:ascii="Arial" w:hAnsi="Arial" w:eastAsia="Arial Unicode MS" w:cs="Arial"/>
          <w:sz w:val="24"/>
          <w:szCs w:val="24"/>
          <w:lang w:val="id-ID"/>
        </w:rPr>
        <w:t xml:space="preserve">) Sasaran Strategis dan </w:t>
      </w:r>
      <w:r>
        <w:rPr>
          <w:rFonts w:hint="default" w:ascii="Arial" w:hAnsi="Arial" w:eastAsia="Arial Unicode MS" w:cs="Arial"/>
          <w:sz w:val="24"/>
          <w:szCs w:val="24"/>
          <w:lang w:val="zh-CN"/>
        </w:rPr>
        <w:t>2</w:t>
      </w:r>
      <w:r>
        <w:rPr>
          <w:rFonts w:hint="default" w:ascii="Arial" w:hAnsi="Arial" w:eastAsia="Arial Unicode MS" w:cs="Arial"/>
          <w:sz w:val="24"/>
          <w:szCs w:val="24"/>
          <w:lang w:val="id-ID"/>
        </w:rPr>
        <w:t xml:space="preserve"> (</w:t>
      </w:r>
      <w:r>
        <w:rPr>
          <w:rFonts w:hint="default" w:ascii="Arial" w:hAnsi="Arial" w:eastAsia="Arial Unicode MS" w:cs="Arial"/>
          <w:sz w:val="24"/>
          <w:szCs w:val="24"/>
          <w:lang w:val="zh-CN"/>
        </w:rPr>
        <w:t>dua</w:t>
      </w:r>
      <w:r>
        <w:rPr>
          <w:rFonts w:hint="default" w:ascii="Arial" w:hAnsi="Arial" w:eastAsia="Arial Unicode MS" w:cs="Arial"/>
          <w:sz w:val="24"/>
          <w:szCs w:val="24"/>
          <w:lang w:val="id-ID"/>
        </w:rPr>
        <w:t xml:space="preserve">) Indikator Kinerja. Hasil pengukuran pencapaian target indikator kinerja sasaran strategis dimaksud adalah sebagaimana disajikan pada tabel </w:t>
      </w:r>
      <w:r>
        <w:rPr>
          <w:rFonts w:hint="default" w:ascii="Arial" w:hAnsi="Arial" w:eastAsia="Arial Unicode MS" w:cs="Arial"/>
          <w:sz w:val="24"/>
          <w:szCs w:val="24"/>
          <w:lang w:val="zh-CN"/>
        </w:rPr>
        <w:t>dibawah ini:</w:t>
      </w:r>
    </w:p>
    <w:p>
      <w:pPr>
        <w:pStyle w:val="31"/>
        <w:spacing w:after="0" w:line="360" w:lineRule="auto"/>
        <w:ind w:left="1560" w:right="238" w:hanging="1560"/>
        <w:jc w:val="both"/>
        <w:rPr>
          <w:rFonts w:hint="default" w:ascii="Arial" w:hAnsi="Arial" w:cs="Arial"/>
          <w:b/>
          <w:sz w:val="24"/>
          <w:szCs w:val="24"/>
          <w:lang w:val="zh-CN"/>
        </w:rPr>
      </w:pPr>
      <w:r>
        <w:rPr>
          <w:rFonts w:hint="default" w:ascii="Arial" w:hAnsi="Arial" w:cs="Arial"/>
          <w:b/>
          <w:sz w:val="24"/>
          <w:szCs w:val="24"/>
        </w:rPr>
        <w:t>Tabel :</w:t>
      </w:r>
      <w:r>
        <w:rPr>
          <w:rFonts w:hint="default" w:ascii="Arial" w:hAnsi="Arial" w:cs="Arial"/>
          <w:b/>
          <w:sz w:val="24"/>
          <w:szCs w:val="24"/>
        </w:rPr>
        <w:tab/>
      </w:r>
      <w:r>
        <w:rPr>
          <w:rFonts w:hint="default" w:ascii="Arial" w:hAnsi="Arial" w:cs="Arial"/>
          <w:b/>
          <w:sz w:val="24"/>
          <w:szCs w:val="24"/>
        </w:rPr>
        <w:t xml:space="preserve">Hasil Pengukuran Pencapaian target  Indikator Kinerja Sasaran Strategis </w:t>
      </w:r>
      <w:r>
        <w:rPr>
          <w:rFonts w:hint="default" w:ascii="Arial" w:hAnsi="Arial" w:cs="Arial"/>
          <w:b/>
          <w:color w:val="000000"/>
          <w:sz w:val="24"/>
          <w:szCs w:val="24"/>
        </w:rPr>
        <w:t xml:space="preserve">Biro </w:t>
      </w:r>
      <w:r>
        <w:rPr>
          <w:rFonts w:hint="default" w:ascii="Arial" w:hAnsi="Arial" w:cs="Arial"/>
          <w:b/>
          <w:color w:val="000000"/>
          <w:sz w:val="24"/>
          <w:szCs w:val="24"/>
          <w:lang w:val="en-US"/>
        </w:rPr>
        <w:t xml:space="preserve">Administrasi Pengadaan dan </w:t>
      </w:r>
      <w:r>
        <w:rPr>
          <w:rFonts w:hint="default" w:ascii="Arial" w:hAnsi="Arial" w:cs="Arial"/>
          <w:b/>
          <w:color w:val="000000"/>
          <w:sz w:val="24"/>
          <w:szCs w:val="24"/>
        </w:rPr>
        <w:t>Pengelolaan</w:t>
      </w:r>
      <w:r>
        <w:rPr>
          <w:rFonts w:hint="default" w:ascii="Arial" w:hAnsi="Arial" w:cs="Arial"/>
          <w:b/>
          <w:color w:val="000000"/>
          <w:sz w:val="24"/>
          <w:szCs w:val="24"/>
          <w:lang w:val="en-US"/>
        </w:rPr>
        <w:t xml:space="preserve"> Barang Milik</w:t>
      </w:r>
      <w:r>
        <w:rPr>
          <w:rFonts w:hint="default" w:ascii="Arial" w:hAnsi="Arial" w:cs="Arial"/>
          <w:b/>
          <w:color w:val="000000"/>
          <w:sz w:val="24"/>
          <w:szCs w:val="24"/>
        </w:rPr>
        <w:t xml:space="preserve"> Daerah</w:t>
      </w:r>
      <w:r>
        <w:rPr>
          <w:rFonts w:hint="default" w:ascii="Arial" w:hAnsi="Arial" w:cs="Arial"/>
          <w:b/>
          <w:sz w:val="24"/>
          <w:szCs w:val="24"/>
        </w:rPr>
        <w:t xml:space="preserve"> Sekretariat Daerah Provinsi Sumatera Barat Tahun 201</w:t>
      </w:r>
      <w:r>
        <w:rPr>
          <w:rFonts w:hint="default" w:ascii="Arial" w:hAnsi="Arial" w:cs="Arial"/>
          <w:b/>
          <w:sz w:val="24"/>
          <w:szCs w:val="24"/>
          <w:lang w:val="zh-CN"/>
        </w:rPr>
        <w:t>9</w:t>
      </w:r>
    </w:p>
    <w:tbl>
      <w:tblPr>
        <w:tblStyle w:val="14"/>
        <w:tblpPr w:leftFromText="180" w:rightFromText="180" w:vertAnchor="text" w:horzAnchor="page" w:tblpX="1847" w:tblpY="243"/>
        <w:tblOverlap w:val="never"/>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2160"/>
        <w:gridCol w:w="285"/>
        <w:gridCol w:w="1935"/>
        <w:gridCol w:w="1305"/>
        <w:gridCol w:w="1575"/>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700" w:type="dxa"/>
            <w:shd w:val="clear" w:color="auto" w:fill="auto"/>
            <w:vAlign w:val="center"/>
          </w:tcPr>
          <w:p>
            <w:pPr>
              <w:spacing w:after="0" w:line="240" w:lineRule="auto"/>
              <w:jc w:val="center"/>
              <w:rPr>
                <w:rFonts w:hint="default" w:ascii="Arial" w:hAnsi="Arial" w:eastAsia="Times New Roman" w:cs="Arial"/>
                <w:b/>
                <w:bCs/>
                <w:color w:val="000000"/>
                <w:sz w:val="24"/>
                <w:szCs w:val="24"/>
                <w:highlight w:val="none"/>
                <w:lang w:eastAsia="id-ID"/>
              </w:rPr>
            </w:pPr>
            <w:r>
              <w:rPr>
                <w:rFonts w:hint="default" w:ascii="Arial" w:hAnsi="Arial" w:eastAsia="Times New Roman" w:cs="Arial"/>
                <w:b/>
                <w:bCs/>
                <w:color w:val="000000"/>
                <w:sz w:val="24"/>
                <w:szCs w:val="24"/>
                <w:highlight w:val="none"/>
                <w:lang w:eastAsia="id-ID"/>
              </w:rPr>
              <w:t>NO</w:t>
            </w:r>
          </w:p>
        </w:tc>
        <w:tc>
          <w:tcPr>
            <w:tcW w:w="2160" w:type="dxa"/>
            <w:shd w:val="clear" w:color="auto" w:fill="auto"/>
            <w:vAlign w:val="center"/>
          </w:tcPr>
          <w:p>
            <w:pPr>
              <w:spacing w:after="0" w:line="240" w:lineRule="auto"/>
              <w:jc w:val="center"/>
              <w:rPr>
                <w:rFonts w:hint="default" w:ascii="Arial" w:hAnsi="Arial" w:eastAsia="Times New Roman" w:cs="Arial"/>
                <w:b/>
                <w:bCs/>
                <w:color w:val="000000"/>
                <w:sz w:val="24"/>
                <w:szCs w:val="24"/>
                <w:highlight w:val="none"/>
                <w:lang w:eastAsia="id-ID"/>
              </w:rPr>
            </w:pPr>
            <w:r>
              <w:rPr>
                <w:rFonts w:hint="default" w:ascii="Arial" w:hAnsi="Arial" w:eastAsia="Times New Roman" w:cs="Arial"/>
                <w:b/>
                <w:bCs/>
                <w:color w:val="000000"/>
                <w:sz w:val="24"/>
                <w:szCs w:val="24"/>
                <w:highlight w:val="none"/>
                <w:lang w:eastAsia="id-ID"/>
              </w:rPr>
              <w:t>SASARAN STRATEGIS</w:t>
            </w:r>
          </w:p>
        </w:tc>
        <w:tc>
          <w:tcPr>
            <w:tcW w:w="2220" w:type="dxa"/>
            <w:gridSpan w:val="2"/>
            <w:shd w:val="clear" w:color="auto" w:fill="auto"/>
            <w:vAlign w:val="center"/>
          </w:tcPr>
          <w:p>
            <w:pPr>
              <w:spacing w:after="0" w:line="240" w:lineRule="auto"/>
              <w:jc w:val="center"/>
              <w:rPr>
                <w:rFonts w:hint="default" w:ascii="Arial" w:hAnsi="Arial" w:eastAsia="Times New Roman" w:cs="Arial"/>
                <w:b/>
                <w:bCs/>
                <w:color w:val="000000"/>
                <w:sz w:val="24"/>
                <w:szCs w:val="24"/>
                <w:highlight w:val="none"/>
                <w:lang w:eastAsia="id-ID"/>
              </w:rPr>
            </w:pPr>
            <w:r>
              <w:rPr>
                <w:rFonts w:hint="default" w:ascii="Arial" w:hAnsi="Arial" w:eastAsia="Times New Roman" w:cs="Arial"/>
                <w:b/>
                <w:bCs/>
                <w:color w:val="000000"/>
                <w:sz w:val="24"/>
                <w:szCs w:val="24"/>
                <w:highlight w:val="none"/>
                <w:lang w:eastAsia="id-ID"/>
              </w:rPr>
              <w:t>INDIKATOR KINERJA</w:t>
            </w:r>
          </w:p>
        </w:tc>
        <w:tc>
          <w:tcPr>
            <w:tcW w:w="1305" w:type="dxa"/>
            <w:shd w:val="clear" w:color="auto" w:fill="auto"/>
            <w:vAlign w:val="center"/>
          </w:tcPr>
          <w:p>
            <w:pPr>
              <w:spacing w:after="0" w:line="240" w:lineRule="auto"/>
              <w:jc w:val="center"/>
              <w:rPr>
                <w:rFonts w:hint="default" w:ascii="Arial" w:hAnsi="Arial" w:eastAsia="Times New Roman" w:cs="Arial"/>
                <w:b/>
                <w:bCs/>
                <w:color w:val="000000"/>
                <w:sz w:val="24"/>
                <w:szCs w:val="24"/>
                <w:highlight w:val="none"/>
                <w:lang w:eastAsia="id-ID"/>
              </w:rPr>
            </w:pPr>
            <w:r>
              <w:rPr>
                <w:rFonts w:hint="default" w:ascii="Arial" w:hAnsi="Arial" w:eastAsia="Times New Roman" w:cs="Arial"/>
                <w:b/>
                <w:bCs/>
                <w:color w:val="000000"/>
                <w:sz w:val="24"/>
                <w:szCs w:val="24"/>
                <w:highlight w:val="none"/>
                <w:lang w:eastAsia="id-ID"/>
              </w:rPr>
              <w:t>TARGET</w:t>
            </w:r>
          </w:p>
        </w:tc>
        <w:tc>
          <w:tcPr>
            <w:tcW w:w="1575" w:type="dxa"/>
          </w:tcPr>
          <w:p>
            <w:pPr>
              <w:spacing w:after="0" w:line="240" w:lineRule="auto"/>
              <w:jc w:val="center"/>
              <w:rPr>
                <w:rFonts w:hint="default" w:ascii="Arial" w:hAnsi="Arial" w:eastAsia="Times New Roman" w:cs="Arial"/>
                <w:b/>
                <w:bCs/>
                <w:color w:val="000000"/>
                <w:sz w:val="24"/>
                <w:szCs w:val="24"/>
                <w:highlight w:val="none"/>
                <w:lang w:eastAsia="id-ID"/>
              </w:rPr>
            </w:pPr>
            <w:r>
              <w:rPr>
                <w:rFonts w:hint="default" w:ascii="Arial" w:hAnsi="Arial" w:eastAsia="Times New Roman" w:cs="Arial"/>
                <w:b/>
                <w:bCs/>
                <w:color w:val="000000"/>
                <w:sz w:val="24"/>
                <w:szCs w:val="24"/>
                <w:highlight w:val="none"/>
                <w:lang w:eastAsia="id-ID"/>
              </w:rPr>
              <w:t>REALISASI</w:t>
            </w:r>
          </w:p>
        </w:tc>
        <w:tc>
          <w:tcPr>
            <w:tcW w:w="1620" w:type="dxa"/>
          </w:tcPr>
          <w:p>
            <w:pPr>
              <w:spacing w:after="0" w:line="240" w:lineRule="auto"/>
              <w:jc w:val="center"/>
              <w:rPr>
                <w:rFonts w:hint="default" w:ascii="Arial" w:hAnsi="Arial" w:eastAsia="Times New Roman" w:cs="Arial"/>
                <w:b/>
                <w:bCs/>
                <w:color w:val="000000"/>
                <w:sz w:val="24"/>
                <w:szCs w:val="24"/>
                <w:highlight w:val="none"/>
                <w:lang w:val="zh-CN" w:eastAsia="id-ID"/>
              </w:rPr>
            </w:pPr>
            <w:r>
              <w:rPr>
                <w:rFonts w:hint="default" w:ascii="Arial" w:hAnsi="Arial" w:eastAsia="Times New Roman" w:cs="Arial"/>
                <w:b/>
                <w:bCs/>
                <w:color w:val="000000"/>
                <w:sz w:val="24"/>
                <w:szCs w:val="24"/>
                <w:highlight w:val="none"/>
                <w:lang w:eastAsia="id-ID"/>
              </w:rPr>
              <w:t>%</w:t>
            </w:r>
            <w:r>
              <w:rPr>
                <w:rFonts w:hint="default" w:ascii="Arial" w:hAnsi="Arial" w:eastAsia="Times New Roman" w:cs="Arial"/>
                <w:b/>
                <w:bCs/>
                <w:color w:val="000000"/>
                <w:sz w:val="24"/>
                <w:szCs w:val="24"/>
                <w:highlight w:val="none"/>
                <w:lang w:val="zh-CN" w:eastAsia="id-ID"/>
              </w:rPr>
              <w:t xml:space="preserve"> CAPAIAN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700" w:type="dxa"/>
            <w:shd w:val="clear" w:color="000000" w:fill="BFBFBF"/>
            <w:vAlign w:val="center"/>
          </w:tcPr>
          <w:p>
            <w:pPr>
              <w:spacing w:after="0" w:line="240" w:lineRule="auto"/>
              <w:jc w:val="center"/>
              <w:rPr>
                <w:rFonts w:hint="default" w:ascii="Arial" w:hAnsi="Arial" w:eastAsia="Times New Roman" w:cs="Arial"/>
                <w:b/>
                <w:bCs/>
                <w:color w:val="000000"/>
                <w:sz w:val="24"/>
                <w:szCs w:val="24"/>
                <w:highlight w:val="none"/>
                <w:lang w:eastAsia="id-ID"/>
              </w:rPr>
            </w:pPr>
            <w:r>
              <w:rPr>
                <w:rFonts w:hint="default" w:ascii="Arial" w:hAnsi="Arial" w:eastAsia="Times New Roman" w:cs="Arial"/>
                <w:b/>
                <w:bCs/>
                <w:color w:val="000000"/>
                <w:sz w:val="24"/>
                <w:szCs w:val="24"/>
                <w:highlight w:val="none"/>
                <w:lang w:eastAsia="id-ID"/>
              </w:rPr>
              <w:t>1</w:t>
            </w:r>
          </w:p>
        </w:tc>
        <w:tc>
          <w:tcPr>
            <w:tcW w:w="2160" w:type="dxa"/>
            <w:shd w:val="clear" w:color="000000" w:fill="BFBFBF"/>
            <w:vAlign w:val="center"/>
          </w:tcPr>
          <w:p>
            <w:pPr>
              <w:spacing w:after="0" w:line="240" w:lineRule="auto"/>
              <w:jc w:val="center"/>
              <w:rPr>
                <w:rFonts w:hint="default" w:ascii="Arial" w:hAnsi="Arial" w:eastAsia="Times New Roman" w:cs="Arial"/>
                <w:b/>
                <w:bCs/>
                <w:color w:val="000000"/>
                <w:sz w:val="24"/>
                <w:szCs w:val="24"/>
                <w:highlight w:val="none"/>
                <w:lang w:eastAsia="id-ID"/>
              </w:rPr>
            </w:pPr>
            <w:r>
              <w:rPr>
                <w:rFonts w:hint="default" w:ascii="Arial" w:hAnsi="Arial" w:eastAsia="Times New Roman" w:cs="Arial"/>
                <w:b/>
                <w:bCs/>
                <w:color w:val="000000"/>
                <w:sz w:val="24"/>
                <w:szCs w:val="24"/>
                <w:highlight w:val="none"/>
                <w:lang w:eastAsia="id-ID"/>
              </w:rPr>
              <w:t>2</w:t>
            </w:r>
          </w:p>
        </w:tc>
        <w:tc>
          <w:tcPr>
            <w:tcW w:w="2220" w:type="dxa"/>
            <w:gridSpan w:val="2"/>
            <w:shd w:val="clear" w:color="000000" w:fill="BFBFBF"/>
            <w:vAlign w:val="center"/>
          </w:tcPr>
          <w:p>
            <w:pPr>
              <w:spacing w:after="0" w:line="240" w:lineRule="auto"/>
              <w:jc w:val="center"/>
              <w:rPr>
                <w:rFonts w:hint="default" w:ascii="Arial" w:hAnsi="Arial" w:eastAsia="Times New Roman" w:cs="Arial"/>
                <w:b/>
                <w:bCs/>
                <w:color w:val="000000"/>
                <w:sz w:val="24"/>
                <w:szCs w:val="24"/>
                <w:highlight w:val="none"/>
                <w:lang w:eastAsia="id-ID"/>
              </w:rPr>
            </w:pPr>
            <w:r>
              <w:rPr>
                <w:rFonts w:hint="default" w:ascii="Arial" w:hAnsi="Arial" w:eastAsia="Times New Roman" w:cs="Arial"/>
                <w:b/>
                <w:bCs/>
                <w:color w:val="000000"/>
                <w:sz w:val="24"/>
                <w:szCs w:val="24"/>
                <w:highlight w:val="none"/>
                <w:lang w:eastAsia="id-ID"/>
              </w:rPr>
              <w:t>3</w:t>
            </w:r>
          </w:p>
        </w:tc>
        <w:tc>
          <w:tcPr>
            <w:tcW w:w="1305" w:type="dxa"/>
            <w:shd w:val="clear" w:color="000000" w:fill="BFBFBF"/>
            <w:vAlign w:val="center"/>
          </w:tcPr>
          <w:p>
            <w:pPr>
              <w:spacing w:after="0" w:line="240" w:lineRule="auto"/>
              <w:jc w:val="center"/>
              <w:rPr>
                <w:rFonts w:hint="default" w:ascii="Arial" w:hAnsi="Arial" w:eastAsia="Times New Roman" w:cs="Arial"/>
                <w:b/>
                <w:bCs/>
                <w:color w:val="000000"/>
                <w:sz w:val="24"/>
                <w:szCs w:val="24"/>
                <w:highlight w:val="none"/>
                <w:lang w:eastAsia="id-ID"/>
              </w:rPr>
            </w:pPr>
            <w:r>
              <w:rPr>
                <w:rFonts w:hint="default" w:ascii="Arial" w:hAnsi="Arial" w:eastAsia="Times New Roman" w:cs="Arial"/>
                <w:b/>
                <w:bCs/>
                <w:color w:val="000000"/>
                <w:sz w:val="24"/>
                <w:szCs w:val="24"/>
                <w:highlight w:val="none"/>
                <w:lang w:eastAsia="id-ID"/>
              </w:rPr>
              <w:t>4</w:t>
            </w:r>
          </w:p>
        </w:tc>
        <w:tc>
          <w:tcPr>
            <w:tcW w:w="1575" w:type="dxa"/>
            <w:shd w:val="clear" w:color="000000" w:fill="BFBFBF"/>
          </w:tcPr>
          <w:p>
            <w:pPr>
              <w:spacing w:after="0" w:line="240" w:lineRule="auto"/>
              <w:jc w:val="center"/>
              <w:rPr>
                <w:rFonts w:hint="default" w:ascii="Arial" w:hAnsi="Arial" w:eastAsia="Times New Roman" w:cs="Arial"/>
                <w:b/>
                <w:bCs/>
                <w:color w:val="000000"/>
                <w:sz w:val="24"/>
                <w:szCs w:val="24"/>
                <w:highlight w:val="none"/>
                <w:lang w:eastAsia="id-ID"/>
              </w:rPr>
            </w:pPr>
            <w:r>
              <w:rPr>
                <w:rFonts w:hint="default" w:ascii="Arial" w:hAnsi="Arial" w:eastAsia="Times New Roman" w:cs="Arial"/>
                <w:b/>
                <w:bCs/>
                <w:color w:val="000000"/>
                <w:sz w:val="24"/>
                <w:szCs w:val="24"/>
                <w:highlight w:val="none"/>
                <w:lang w:eastAsia="id-ID"/>
              </w:rPr>
              <w:t>5</w:t>
            </w:r>
          </w:p>
        </w:tc>
        <w:tc>
          <w:tcPr>
            <w:tcW w:w="1620" w:type="dxa"/>
            <w:shd w:val="clear" w:color="000000" w:fill="BFBFBF"/>
          </w:tcPr>
          <w:p>
            <w:pPr>
              <w:spacing w:after="0" w:line="240" w:lineRule="auto"/>
              <w:jc w:val="center"/>
              <w:rPr>
                <w:rFonts w:hint="default" w:ascii="Arial" w:hAnsi="Arial" w:eastAsia="Times New Roman" w:cs="Arial"/>
                <w:b/>
                <w:bCs/>
                <w:color w:val="000000"/>
                <w:sz w:val="24"/>
                <w:szCs w:val="24"/>
                <w:highlight w:val="none"/>
                <w:lang w:eastAsia="id-ID"/>
              </w:rPr>
            </w:pPr>
            <w:r>
              <w:rPr>
                <w:rFonts w:hint="default" w:ascii="Arial" w:hAnsi="Arial" w:eastAsia="Times New Roman" w:cs="Arial"/>
                <w:b/>
                <w:bCs/>
                <w:color w:val="000000"/>
                <w:sz w:val="24"/>
                <w:szCs w:val="24"/>
                <w:highlight w:val="none"/>
                <w:lang w:eastAsia="id-ID"/>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6" w:hRule="atLeast"/>
        </w:trPr>
        <w:tc>
          <w:tcPr>
            <w:tcW w:w="700" w:type="dxa"/>
            <w:shd w:val="clear" w:color="auto" w:fill="auto"/>
          </w:tcPr>
          <w:p>
            <w:pPr>
              <w:spacing w:after="0" w:line="240" w:lineRule="auto"/>
              <w:jc w:val="center"/>
              <w:rPr>
                <w:rFonts w:hint="default" w:ascii="Arial" w:hAnsi="Arial" w:eastAsia="Times New Roman" w:cs="Arial"/>
                <w:color w:val="000000"/>
                <w:sz w:val="24"/>
                <w:szCs w:val="24"/>
                <w:highlight w:val="none"/>
                <w:lang w:eastAsia="id-ID"/>
              </w:rPr>
            </w:pPr>
            <w:r>
              <w:rPr>
                <w:rFonts w:hint="default" w:ascii="Arial" w:hAnsi="Arial" w:eastAsia="Times New Roman" w:cs="Arial"/>
                <w:color w:val="000000"/>
                <w:sz w:val="24"/>
                <w:szCs w:val="24"/>
                <w:highlight w:val="none"/>
                <w:lang w:eastAsia="id-ID"/>
              </w:rPr>
              <w:t>1</w:t>
            </w:r>
          </w:p>
          <w:p>
            <w:pPr>
              <w:jc w:val="center"/>
              <w:rPr>
                <w:rFonts w:hint="default" w:ascii="Arial" w:hAnsi="Arial" w:eastAsia="Times New Roman" w:cs="Arial"/>
                <w:color w:val="000000"/>
                <w:sz w:val="24"/>
                <w:szCs w:val="24"/>
                <w:highlight w:val="none"/>
                <w:lang w:eastAsia="id-ID"/>
              </w:rPr>
            </w:pPr>
            <w:r>
              <w:rPr>
                <w:rFonts w:hint="default" w:ascii="Arial" w:hAnsi="Arial" w:eastAsia="Times New Roman" w:cs="Arial"/>
                <w:color w:val="000000"/>
                <w:sz w:val="24"/>
                <w:szCs w:val="24"/>
                <w:highlight w:val="none"/>
                <w:lang w:eastAsia="id-ID"/>
              </w:rPr>
              <w:t> </w:t>
            </w:r>
          </w:p>
        </w:tc>
        <w:tc>
          <w:tcPr>
            <w:tcW w:w="2160" w:type="dxa"/>
            <w:shd w:val="clear" w:color="auto" w:fill="auto"/>
          </w:tcPr>
          <w:p>
            <w:pPr>
              <w:spacing w:after="0" w:line="240" w:lineRule="auto"/>
              <w:rPr>
                <w:rFonts w:hint="default" w:ascii="Arial" w:hAnsi="Arial" w:eastAsia="Times New Roman" w:cs="Arial"/>
                <w:color w:val="000000"/>
                <w:sz w:val="24"/>
                <w:szCs w:val="24"/>
                <w:highlight w:val="none"/>
                <w:lang w:eastAsia="id-ID"/>
              </w:rPr>
            </w:pPr>
            <w:r>
              <w:rPr>
                <w:rFonts w:hint="default" w:ascii="Arial" w:hAnsi="Arial" w:eastAsia="Times New Roman" w:cs="Arial"/>
                <w:color w:val="000000"/>
                <w:sz w:val="24"/>
                <w:szCs w:val="24"/>
                <w:highlight w:val="none"/>
                <w:lang w:eastAsia="id-ID"/>
              </w:rPr>
              <w:t>Tertib Pengelolaan Barang Milik Daerah</w:t>
            </w:r>
          </w:p>
        </w:tc>
        <w:tc>
          <w:tcPr>
            <w:tcW w:w="285" w:type="dxa"/>
            <w:shd w:val="clear" w:color="auto" w:fill="auto"/>
          </w:tcPr>
          <w:p>
            <w:pPr>
              <w:jc w:val="center"/>
              <w:rPr>
                <w:rFonts w:hint="default" w:ascii="Arial" w:hAnsi="Arial" w:eastAsia="Times New Roman" w:cs="Arial"/>
                <w:color w:val="000000"/>
                <w:sz w:val="24"/>
                <w:szCs w:val="24"/>
                <w:highlight w:val="none"/>
                <w:lang w:eastAsia="id-ID"/>
              </w:rPr>
            </w:pPr>
          </w:p>
        </w:tc>
        <w:tc>
          <w:tcPr>
            <w:tcW w:w="1935" w:type="dxa"/>
            <w:shd w:val="clear" w:color="auto" w:fill="auto"/>
          </w:tcPr>
          <w:p>
            <w:pPr>
              <w:spacing w:after="0" w:line="240" w:lineRule="auto"/>
              <w:rPr>
                <w:rFonts w:hint="default" w:ascii="Arial" w:hAnsi="Arial" w:eastAsia="Times New Roman" w:cs="Arial"/>
                <w:color w:val="000000"/>
                <w:sz w:val="24"/>
                <w:szCs w:val="24"/>
                <w:highlight w:val="none"/>
                <w:lang w:eastAsia="id-ID"/>
              </w:rPr>
            </w:pPr>
            <w:r>
              <w:rPr>
                <w:rFonts w:hint="default" w:ascii="Arial" w:hAnsi="Arial" w:eastAsia="Times New Roman" w:cs="Arial"/>
                <w:color w:val="000000"/>
                <w:sz w:val="24"/>
                <w:szCs w:val="24"/>
                <w:highlight w:val="none"/>
                <w:lang w:eastAsia="id-ID"/>
              </w:rPr>
              <w:t>Persentase Akurasi Barang Milik Daerah</w:t>
            </w:r>
          </w:p>
        </w:tc>
        <w:tc>
          <w:tcPr>
            <w:tcW w:w="1305" w:type="dxa"/>
            <w:shd w:val="clear" w:color="auto" w:fill="auto"/>
          </w:tcPr>
          <w:p>
            <w:pPr>
              <w:spacing w:after="0" w:line="240" w:lineRule="auto"/>
              <w:jc w:val="center"/>
              <w:rPr>
                <w:rFonts w:hint="default" w:ascii="Arial" w:hAnsi="Arial" w:eastAsia="Times New Roman" w:cs="Arial"/>
                <w:color w:val="000000"/>
                <w:sz w:val="24"/>
                <w:szCs w:val="24"/>
                <w:highlight w:val="none"/>
                <w:lang w:eastAsia="id-ID"/>
              </w:rPr>
            </w:pPr>
          </w:p>
          <w:p>
            <w:pPr>
              <w:spacing w:after="0" w:line="240" w:lineRule="auto"/>
              <w:jc w:val="center"/>
              <w:rPr>
                <w:rFonts w:hint="default" w:ascii="Arial" w:hAnsi="Arial" w:eastAsia="Times New Roman" w:cs="Arial"/>
                <w:color w:val="000000"/>
                <w:sz w:val="24"/>
                <w:szCs w:val="24"/>
                <w:highlight w:val="none"/>
                <w:lang w:eastAsia="id-ID"/>
              </w:rPr>
            </w:pPr>
          </w:p>
          <w:p>
            <w:pPr>
              <w:spacing w:after="0" w:line="240" w:lineRule="auto"/>
              <w:jc w:val="center"/>
              <w:rPr>
                <w:rFonts w:hint="default" w:ascii="Arial" w:hAnsi="Arial" w:eastAsia="Times New Roman" w:cs="Arial"/>
                <w:color w:val="000000"/>
                <w:sz w:val="24"/>
                <w:szCs w:val="24"/>
                <w:highlight w:val="none"/>
                <w:lang w:eastAsia="id-ID"/>
              </w:rPr>
            </w:pPr>
            <w:r>
              <w:rPr>
                <w:rFonts w:hint="default" w:ascii="Arial" w:hAnsi="Arial" w:eastAsia="Times New Roman" w:cs="Arial"/>
                <w:color w:val="000000"/>
                <w:sz w:val="24"/>
                <w:szCs w:val="24"/>
                <w:highlight w:val="none"/>
                <w:lang w:eastAsia="id-ID"/>
              </w:rPr>
              <w:t>8</w:t>
            </w:r>
            <w:r>
              <w:rPr>
                <w:rFonts w:hint="default" w:ascii="Arial" w:hAnsi="Arial" w:eastAsia="Times New Roman" w:cs="Arial"/>
                <w:color w:val="000000"/>
                <w:sz w:val="24"/>
                <w:szCs w:val="24"/>
                <w:highlight w:val="none"/>
                <w:lang w:val="zh-CN" w:eastAsia="id-ID"/>
              </w:rPr>
              <w:t>5</w:t>
            </w:r>
            <w:r>
              <w:rPr>
                <w:rFonts w:hint="default" w:ascii="Arial" w:hAnsi="Arial" w:eastAsia="Times New Roman" w:cs="Arial"/>
                <w:color w:val="000000"/>
                <w:sz w:val="24"/>
                <w:szCs w:val="24"/>
                <w:highlight w:val="none"/>
                <w:lang w:eastAsia="id-ID"/>
              </w:rPr>
              <w:t>%</w:t>
            </w:r>
          </w:p>
          <w:p>
            <w:pPr>
              <w:jc w:val="center"/>
              <w:rPr>
                <w:rFonts w:hint="default" w:ascii="Arial" w:hAnsi="Arial" w:eastAsia="Times New Roman" w:cs="Arial"/>
                <w:color w:val="000000"/>
                <w:sz w:val="24"/>
                <w:szCs w:val="24"/>
                <w:highlight w:val="none"/>
                <w:lang w:eastAsia="id-ID"/>
              </w:rPr>
            </w:pPr>
            <w:r>
              <w:rPr>
                <w:rFonts w:hint="default" w:ascii="Arial" w:hAnsi="Arial" w:eastAsia="Times New Roman" w:cs="Arial"/>
                <w:color w:val="000000"/>
                <w:sz w:val="24"/>
                <w:szCs w:val="24"/>
                <w:highlight w:val="none"/>
                <w:lang w:eastAsia="id-ID"/>
              </w:rPr>
              <w:t> </w:t>
            </w:r>
          </w:p>
        </w:tc>
        <w:tc>
          <w:tcPr>
            <w:tcW w:w="1575" w:type="dxa"/>
          </w:tcPr>
          <w:p>
            <w:pPr>
              <w:spacing w:after="0" w:line="240" w:lineRule="auto"/>
              <w:jc w:val="center"/>
              <w:rPr>
                <w:rFonts w:hint="default" w:ascii="Arial" w:hAnsi="Arial" w:eastAsia="Times New Roman" w:cs="Arial"/>
                <w:color w:val="000000"/>
                <w:sz w:val="24"/>
                <w:szCs w:val="24"/>
                <w:highlight w:val="none"/>
                <w:lang w:eastAsia="id-ID"/>
              </w:rPr>
            </w:pPr>
          </w:p>
          <w:p>
            <w:pPr>
              <w:spacing w:after="0" w:line="240" w:lineRule="auto"/>
              <w:jc w:val="center"/>
              <w:rPr>
                <w:rFonts w:hint="default" w:ascii="Arial" w:hAnsi="Arial" w:eastAsia="Times New Roman" w:cs="Arial"/>
                <w:color w:val="000000"/>
                <w:sz w:val="24"/>
                <w:szCs w:val="24"/>
                <w:highlight w:val="none"/>
                <w:lang w:eastAsia="id-ID"/>
              </w:rPr>
            </w:pPr>
          </w:p>
          <w:p>
            <w:pPr>
              <w:spacing w:after="0" w:line="240" w:lineRule="auto"/>
              <w:jc w:val="center"/>
              <w:rPr>
                <w:rFonts w:hint="default" w:ascii="Arial" w:hAnsi="Arial" w:eastAsia="Times New Roman" w:cs="Arial"/>
                <w:color w:val="000000"/>
                <w:sz w:val="24"/>
                <w:szCs w:val="24"/>
                <w:highlight w:val="none"/>
                <w:lang w:eastAsia="id-ID"/>
              </w:rPr>
            </w:pPr>
            <w:r>
              <w:rPr>
                <w:rFonts w:hint="default" w:ascii="Arial" w:hAnsi="Arial" w:eastAsia="Times New Roman" w:cs="Arial"/>
                <w:color w:val="000000"/>
                <w:sz w:val="24"/>
                <w:szCs w:val="24"/>
                <w:highlight w:val="none"/>
                <w:lang w:eastAsia="id-ID"/>
              </w:rPr>
              <w:t>99,9</w:t>
            </w:r>
            <w:r>
              <w:rPr>
                <w:rFonts w:hint="default" w:ascii="Arial" w:hAnsi="Arial" w:eastAsia="Times New Roman" w:cs="Arial"/>
                <w:color w:val="000000"/>
                <w:sz w:val="24"/>
                <w:szCs w:val="24"/>
                <w:highlight w:val="none"/>
                <w:lang w:val="zh-CN" w:eastAsia="id-ID"/>
              </w:rPr>
              <w:t>6</w:t>
            </w:r>
            <w:r>
              <w:rPr>
                <w:rFonts w:hint="default" w:ascii="Arial" w:hAnsi="Arial" w:eastAsia="Times New Roman" w:cs="Arial"/>
                <w:color w:val="000000"/>
                <w:sz w:val="24"/>
                <w:szCs w:val="24"/>
                <w:highlight w:val="none"/>
                <w:lang w:eastAsia="id-ID"/>
              </w:rPr>
              <w:t>%</w:t>
            </w:r>
          </w:p>
        </w:tc>
        <w:tc>
          <w:tcPr>
            <w:tcW w:w="1620" w:type="dxa"/>
          </w:tcPr>
          <w:p>
            <w:pPr>
              <w:spacing w:after="0" w:line="240" w:lineRule="auto"/>
              <w:jc w:val="center"/>
              <w:rPr>
                <w:rFonts w:hint="default" w:ascii="Arial" w:hAnsi="Arial" w:eastAsia="Times New Roman" w:cs="Arial"/>
                <w:color w:val="000000"/>
                <w:sz w:val="24"/>
                <w:szCs w:val="24"/>
                <w:highlight w:val="none"/>
                <w:lang w:eastAsia="id-ID"/>
              </w:rPr>
            </w:pPr>
          </w:p>
          <w:p>
            <w:pPr>
              <w:spacing w:after="0" w:line="240" w:lineRule="auto"/>
              <w:jc w:val="center"/>
              <w:rPr>
                <w:rFonts w:hint="default" w:ascii="Arial" w:hAnsi="Arial" w:eastAsia="Times New Roman" w:cs="Arial"/>
                <w:color w:val="000000"/>
                <w:sz w:val="24"/>
                <w:szCs w:val="24"/>
                <w:highlight w:val="none"/>
                <w:lang w:eastAsia="id-ID"/>
              </w:rPr>
            </w:pPr>
          </w:p>
          <w:p>
            <w:pPr>
              <w:spacing w:after="0" w:line="240" w:lineRule="auto"/>
              <w:jc w:val="center"/>
              <w:rPr>
                <w:rFonts w:hint="default" w:ascii="Arial" w:hAnsi="Arial" w:eastAsia="Times New Roman" w:cs="Arial"/>
                <w:color w:val="000000"/>
                <w:sz w:val="24"/>
                <w:szCs w:val="24"/>
                <w:highlight w:val="none"/>
                <w:lang w:eastAsia="id-ID"/>
              </w:rPr>
            </w:pPr>
            <w:r>
              <w:rPr>
                <w:rFonts w:hint="default" w:ascii="Arial" w:hAnsi="Arial" w:eastAsia="Times New Roman" w:cs="Arial"/>
                <w:color w:val="000000"/>
                <w:sz w:val="24"/>
                <w:szCs w:val="24"/>
                <w:highlight w:val="none"/>
                <w:lang w:eastAsia="id-ID"/>
              </w:rPr>
              <w:t>1</w:t>
            </w:r>
            <w:r>
              <w:rPr>
                <w:rFonts w:hint="default" w:ascii="Arial" w:hAnsi="Arial" w:eastAsia="Times New Roman" w:cs="Arial"/>
                <w:color w:val="000000"/>
                <w:sz w:val="24"/>
                <w:szCs w:val="24"/>
                <w:highlight w:val="none"/>
                <w:lang w:val="zh-CN" w:eastAsia="id-ID"/>
              </w:rPr>
              <w:t>17,61</w:t>
            </w:r>
            <w:r>
              <w:rPr>
                <w:rFonts w:hint="default" w:ascii="Arial" w:hAnsi="Arial" w:eastAsia="Times New Roman" w:cs="Arial"/>
                <w:color w:val="000000"/>
                <w:sz w:val="24"/>
                <w:szCs w:val="24"/>
                <w:highlight w:val="none"/>
                <w:lang w:eastAsia="id-ID"/>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700" w:type="dxa"/>
            <w:shd w:val="clear" w:color="auto" w:fill="auto"/>
          </w:tcPr>
          <w:p>
            <w:pPr>
              <w:spacing w:after="0" w:line="240" w:lineRule="auto"/>
              <w:jc w:val="center"/>
              <w:rPr>
                <w:rFonts w:hint="default" w:ascii="Arial" w:hAnsi="Arial" w:eastAsia="Times New Roman" w:cs="Arial"/>
                <w:color w:val="000000"/>
                <w:sz w:val="24"/>
                <w:szCs w:val="24"/>
                <w:highlight w:val="none"/>
                <w:lang w:eastAsia="id-ID"/>
              </w:rPr>
            </w:pPr>
            <w:r>
              <w:rPr>
                <w:rFonts w:hint="default" w:ascii="Arial" w:hAnsi="Arial" w:eastAsia="Times New Roman" w:cs="Arial"/>
                <w:color w:val="000000"/>
                <w:sz w:val="24"/>
                <w:szCs w:val="24"/>
                <w:highlight w:val="none"/>
                <w:lang w:eastAsia="id-ID"/>
              </w:rPr>
              <w:t>2</w:t>
            </w:r>
          </w:p>
        </w:tc>
        <w:tc>
          <w:tcPr>
            <w:tcW w:w="2160" w:type="dxa"/>
            <w:shd w:val="clear" w:color="auto" w:fill="auto"/>
          </w:tcPr>
          <w:p>
            <w:pPr>
              <w:spacing w:after="0" w:line="240" w:lineRule="auto"/>
              <w:rPr>
                <w:rFonts w:hint="default" w:ascii="Arial" w:hAnsi="Arial" w:eastAsia="Times New Roman" w:cs="Arial"/>
                <w:color w:val="000000"/>
                <w:sz w:val="24"/>
                <w:szCs w:val="24"/>
                <w:highlight w:val="none"/>
                <w:lang w:eastAsia="id-ID"/>
              </w:rPr>
            </w:pPr>
            <w:r>
              <w:rPr>
                <w:rFonts w:hint="default" w:ascii="Arial" w:hAnsi="Arial" w:eastAsia="Times New Roman" w:cs="Arial"/>
                <w:color w:val="000000"/>
                <w:sz w:val="24"/>
                <w:szCs w:val="24"/>
                <w:highlight w:val="none"/>
                <w:lang w:eastAsia="id-ID"/>
              </w:rPr>
              <w:t>Meningkatnya Tata Kelola Organisasi</w:t>
            </w:r>
          </w:p>
        </w:tc>
        <w:tc>
          <w:tcPr>
            <w:tcW w:w="285" w:type="dxa"/>
            <w:shd w:val="clear" w:color="auto" w:fill="auto"/>
          </w:tcPr>
          <w:p>
            <w:pPr>
              <w:spacing w:after="0" w:line="240" w:lineRule="auto"/>
              <w:jc w:val="both"/>
              <w:rPr>
                <w:rFonts w:hint="default" w:ascii="Arial" w:hAnsi="Arial" w:eastAsia="Times New Roman" w:cs="Arial"/>
                <w:color w:val="000000"/>
                <w:sz w:val="24"/>
                <w:szCs w:val="24"/>
                <w:highlight w:val="none"/>
                <w:lang w:eastAsia="id-ID"/>
              </w:rPr>
            </w:pPr>
          </w:p>
        </w:tc>
        <w:tc>
          <w:tcPr>
            <w:tcW w:w="1935" w:type="dxa"/>
            <w:shd w:val="clear" w:color="auto" w:fill="auto"/>
          </w:tcPr>
          <w:p>
            <w:pPr>
              <w:spacing w:after="0" w:line="240" w:lineRule="auto"/>
              <w:rPr>
                <w:rFonts w:hint="default" w:ascii="Arial" w:hAnsi="Arial" w:eastAsia="Times New Roman" w:cs="Arial"/>
                <w:color w:val="000000"/>
                <w:sz w:val="24"/>
                <w:szCs w:val="24"/>
                <w:highlight w:val="none"/>
                <w:lang w:eastAsia="id-ID"/>
              </w:rPr>
            </w:pPr>
            <w:r>
              <w:rPr>
                <w:rFonts w:hint="default" w:ascii="Arial" w:hAnsi="Arial" w:eastAsia="Times New Roman" w:cs="Arial"/>
                <w:color w:val="000000"/>
                <w:sz w:val="24"/>
                <w:szCs w:val="24"/>
                <w:highlight w:val="none"/>
                <w:lang w:eastAsia="id-ID"/>
              </w:rPr>
              <w:t>Nilai Evaluasi Akuntabilitas Kinerja</w:t>
            </w:r>
          </w:p>
          <w:p>
            <w:pPr>
              <w:spacing w:after="0" w:line="240" w:lineRule="auto"/>
              <w:rPr>
                <w:rFonts w:hint="default" w:ascii="Arial" w:hAnsi="Arial" w:eastAsia="Times New Roman" w:cs="Arial"/>
                <w:color w:val="000000"/>
                <w:sz w:val="24"/>
                <w:szCs w:val="24"/>
                <w:highlight w:val="none"/>
                <w:lang w:eastAsia="id-ID"/>
              </w:rPr>
            </w:pPr>
          </w:p>
        </w:tc>
        <w:tc>
          <w:tcPr>
            <w:tcW w:w="1305" w:type="dxa"/>
            <w:shd w:val="clear" w:color="auto" w:fill="auto"/>
          </w:tcPr>
          <w:p>
            <w:pPr>
              <w:spacing w:after="0" w:line="240" w:lineRule="auto"/>
              <w:jc w:val="center"/>
              <w:rPr>
                <w:rFonts w:hint="default" w:ascii="Arial" w:hAnsi="Arial" w:eastAsia="Times New Roman" w:cs="Arial"/>
                <w:color w:val="000000"/>
                <w:sz w:val="24"/>
                <w:szCs w:val="24"/>
                <w:highlight w:val="none"/>
                <w:lang w:eastAsia="id-ID"/>
              </w:rPr>
            </w:pPr>
          </w:p>
          <w:p>
            <w:pPr>
              <w:spacing w:after="0" w:line="240" w:lineRule="auto"/>
              <w:jc w:val="center"/>
              <w:rPr>
                <w:rFonts w:hint="default" w:ascii="Arial" w:hAnsi="Arial" w:eastAsia="Times New Roman" w:cs="Arial"/>
                <w:color w:val="000000"/>
                <w:sz w:val="24"/>
                <w:szCs w:val="24"/>
                <w:highlight w:val="none"/>
                <w:lang w:eastAsia="id-ID"/>
              </w:rPr>
            </w:pPr>
            <w:r>
              <w:rPr>
                <w:rFonts w:hint="default" w:ascii="Arial" w:hAnsi="Arial" w:eastAsia="Times New Roman" w:cs="Arial"/>
                <w:color w:val="000000"/>
                <w:sz w:val="24"/>
                <w:szCs w:val="24"/>
                <w:highlight w:val="none"/>
                <w:lang w:eastAsia="id-ID"/>
              </w:rPr>
              <w:t>B</w:t>
            </w:r>
          </w:p>
          <w:p>
            <w:pPr>
              <w:spacing w:after="0" w:line="240" w:lineRule="auto"/>
              <w:jc w:val="center"/>
              <w:rPr>
                <w:rFonts w:hint="default" w:ascii="Arial" w:hAnsi="Arial" w:eastAsia="Times New Roman" w:cs="Arial"/>
                <w:color w:val="000000"/>
                <w:sz w:val="24"/>
                <w:szCs w:val="24"/>
                <w:highlight w:val="none"/>
                <w:lang w:eastAsia="id-ID"/>
              </w:rPr>
            </w:pPr>
          </w:p>
        </w:tc>
        <w:tc>
          <w:tcPr>
            <w:tcW w:w="1575" w:type="dxa"/>
          </w:tcPr>
          <w:p>
            <w:pPr>
              <w:spacing w:after="0" w:line="240" w:lineRule="auto"/>
              <w:jc w:val="center"/>
              <w:rPr>
                <w:rFonts w:hint="default" w:ascii="Arial" w:hAnsi="Arial" w:eastAsia="Times New Roman" w:cs="Arial"/>
                <w:color w:val="000000"/>
                <w:sz w:val="24"/>
                <w:szCs w:val="24"/>
                <w:highlight w:val="none"/>
                <w:lang w:eastAsia="id-ID"/>
              </w:rPr>
            </w:pPr>
          </w:p>
          <w:p>
            <w:pPr>
              <w:spacing w:after="0" w:line="240" w:lineRule="auto"/>
              <w:jc w:val="center"/>
              <w:rPr>
                <w:rFonts w:hint="default" w:ascii="Arial" w:hAnsi="Arial" w:eastAsia="Times New Roman" w:cs="Arial"/>
                <w:color w:val="000000"/>
                <w:sz w:val="24"/>
                <w:szCs w:val="24"/>
                <w:highlight w:val="none"/>
                <w:lang w:val="zh-CN" w:eastAsia="id-ID"/>
              </w:rPr>
            </w:pPr>
            <w:r>
              <w:rPr>
                <w:rFonts w:hint="default" w:ascii="Arial" w:hAnsi="Arial" w:eastAsia="Times New Roman" w:cs="Arial"/>
                <w:color w:val="000000"/>
                <w:sz w:val="24"/>
                <w:szCs w:val="24"/>
                <w:highlight w:val="none"/>
                <w:lang w:val="zh-CN" w:eastAsia="id-ID"/>
              </w:rPr>
              <w:t>B</w:t>
            </w:r>
          </w:p>
        </w:tc>
        <w:tc>
          <w:tcPr>
            <w:tcW w:w="1620" w:type="dxa"/>
          </w:tcPr>
          <w:p>
            <w:pPr>
              <w:spacing w:after="0" w:line="240" w:lineRule="auto"/>
              <w:jc w:val="center"/>
              <w:rPr>
                <w:rFonts w:hint="default" w:ascii="Arial" w:hAnsi="Arial" w:eastAsia="Times New Roman" w:cs="Arial"/>
                <w:color w:val="000000"/>
                <w:sz w:val="24"/>
                <w:szCs w:val="24"/>
                <w:highlight w:val="none"/>
                <w:lang w:eastAsia="id-ID"/>
              </w:rPr>
            </w:pPr>
          </w:p>
          <w:p>
            <w:pPr>
              <w:spacing w:after="0" w:line="240" w:lineRule="auto"/>
              <w:jc w:val="center"/>
              <w:rPr>
                <w:rFonts w:hint="default" w:ascii="Arial" w:hAnsi="Arial" w:eastAsia="Times New Roman" w:cs="Arial"/>
                <w:color w:val="000000"/>
                <w:sz w:val="24"/>
                <w:szCs w:val="24"/>
                <w:highlight w:val="none"/>
                <w:lang w:val="zh-CN" w:eastAsia="id-ID"/>
              </w:rPr>
            </w:pPr>
            <w:r>
              <w:rPr>
                <w:rFonts w:hint="default" w:ascii="Arial" w:hAnsi="Arial" w:eastAsia="Times New Roman" w:cs="Arial"/>
                <w:color w:val="000000"/>
                <w:sz w:val="24"/>
                <w:szCs w:val="24"/>
                <w:highlight w:val="none"/>
                <w:lang w:val="zh-CN" w:eastAsia="id-ID"/>
              </w:rPr>
              <w:t>B</w:t>
            </w:r>
          </w:p>
        </w:tc>
      </w:tr>
    </w:tbl>
    <w:p>
      <w:pPr>
        <w:pStyle w:val="25"/>
        <w:spacing w:before="60" w:after="60"/>
        <w:ind w:left="0" w:leftChars="0" w:firstLine="0" w:firstLineChars="0"/>
        <w:jc w:val="both"/>
        <w:rPr>
          <w:rFonts w:ascii="Arial" w:hAnsi="Arial" w:cs="Arial"/>
        </w:rPr>
      </w:pPr>
    </w:p>
    <w:p>
      <w:pPr>
        <w:pStyle w:val="25"/>
        <w:spacing w:before="60" w:after="60"/>
        <w:ind w:left="0" w:leftChars="0" w:firstLine="720" w:firstLineChars="0"/>
        <w:jc w:val="both"/>
        <w:rPr>
          <w:rFonts w:ascii="Arial" w:hAnsi="Arial" w:cs="Arial"/>
        </w:rPr>
      </w:pPr>
      <w:r>
        <w:rPr>
          <w:rFonts w:ascii="Arial" w:hAnsi="Arial" w:cs="Arial"/>
        </w:rPr>
        <w:t>Berdasarkan data tabel capaian I</w:t>
      </w:r>
      <w:r>
        <w:rPr>
          <w:rFonts w:hint="default" w:ascii="Arial" w:hAnsi="Arial" w:cs="Arial"/>
          <w:lang w:val="zh-CN"/>
        </w:rPr>
        <w:t xml:space="preserve">ndikator </w:t>
      </w:r>
      <w:r>
        <w:rPr>
          <w:rFonts w:ascii="Arial" w:hAnsi="Arial" w:cs="Arial"/>
        </w:rPr>
        <w:t>K</w:t>
      </w:r>
      <w:r>
        <w:rPr>
          <w:rFonts w:hint="default" w:ascii="Arial" w:hAnsi="Arial" w:cs="Arial"/>
          <w:lang w:val="zh-CN"/>
        </w:rPr>
        <w:t xml:space="preserve">inerja </w:t>
      </w:r>
      <w:r>
        <w:rPr>
          <w:rFonts w:ascii="Arial" w:hAnsi="Arial" w:cs="Arial"/>
        </w:rPr>
        <w:t>U</w:t>
      </w:r>
      <w:r>
        <w:rPr>
          <w:rFonts w:hint="default" w:ascii="Arial" w:hAnsi="Arial" w:cs="Arial"/>
          <w:lang w:val="zh-CN"/>
        </w:rPr>
        <w:t>tama yang telah ditetapkan</w:t>
      </w:r>
      <w:r>
        <w:rPr>
          <w:rFonts w:ascii="Arial" w:hAnsi="Arial" w:cs="Arial"/>
        </w:rPr>
        <w:t>,</w:t>
      </w:r>
      <w:r>
        <w:rPr>
          <w:rFonts w:hint="default" w:ascii="Arial" w:hAnsi="Arial" w:cs="Arial"/>
          <w:lang w:val="zh-CN"/>
        </w:rPr>
        <w:t xml:space="preserve"> </w:t>
      </w:r>
      <w:r>
        <w:rPr>
          <w:rFonts w:ascii="Arial" w:hAnsi="Arial" w:cs="Arial"/>
        </w:rPr>
        <w:t>diketahui bahwa capaian indikator pada Tahun 201</w:t>
      </w:r>
      <w:r>
        <w:rPr>
          <w:rFonts w:hint="default" w:ascii="Arial" w:hAnsi="Arial" w:cs="Arial"/>
          <w:lang w:val="zh-CN"/>
        </w:rPr>
        <w:t>9</w:t>
      </w:r>
      <w:r>
        <w:rPr>
          <w:rFonts w:ascii="Arial" w:hAnsi="Arial" w:cs="Arial"/>
        </w:rPr>
        <w:t xml:space="preserve"> </w:t>
      </w:r>
      <w:r>
        <w:rPr>
          <w:rFonts w:hint="default" w:ascii="Arial" w:hAnsi="Arial" w:cs="Arial"/>
          <w:lang w:val="zh-CN"/>
        </w:rPr>
        <w:t>sudah</w:t>
      </w:r>
      <w:r>
        <w:rPr>
          <w:rFonts w:ascii="Arial" w:hAnsi="Arial" w:cs="Arial"/>
        </w:rPr>
        <w:t xml:space="preserve"> memenuhi target yang ditetapkan</w:t>
      </w:r>
    </w:p>
    <w:p>
      <w:pPr>
        <w:pStyle w:val="25"/>
        <w:spacing w:before="60" w:after="60"/>
        <w:ind w:left="1418" w:firstLine="567"/>
        <w:jc w:val="both"/>
        <w:rPr>
          <w:rFonts w:ascii="Arial" w:hAnsi="Arial" w:cs="Arial"/>
        </w:rPr>
      </w:pPr>
    </w:p>
    <w:p>
      <w:pPr>
        <w:pStyle w:val="25"/>
        <w:numPr>
          <w:ilvl w:val="0"/>
          <w:numId w:val="1"/>
        </w:numPr>
        <w:spacing w:before="60" w:after="60"/>
        <w:ind w:left="567" w:hanging="567"/>
        <w:contextualSpacing w:val="0"/>
        <w:jc w:val="both"/>
        <w:rPr>
          <w:rFonts w:ascii="Arial" w:hAnsi="Arial" w:cs="Arial"/>
          <w:b/>
          <w:color w:val="000000" w:themeColor="text1"/>
          <w14:textFill>
            <w14:solidFill>
              <w14:schemeClr w14:val="tx1"/>
            </w14:solidFill>
          </w14:textFill>
        </w:rPr>
      </w:pPr>
      <w:r>
        <w:rPr>
          <w:rFonts w:ascii="Arial" w:hAnsi="Arial" w:cs="Arial"/>
          <w:b/>
          <w:color w:val="000000" w:themeColor="text1"/>
          <w14:textFill>
            <w14:solidFill>
              <w14:schemeClr w14:val="tx1"/>
            </w14:solidFill>
          </w14:textFill>
        </w:rPr>
        <w:t xml:space="preserve">Permasalahan </w:t>
      </w:r>
      <w:r>
        <w:rPr>
          <w:rFonts w:ascii="Arial" w:hAnsi="Arial" w:cs="Arial"/>
          <w:b/>
          <w:color w:val="000000" w:themeColor="text1"/>
          <w:lang w:val="id-ID"/>
          <w14:textFill>
            <w14:solidFill>
              <w14:schemeClr w14:val="tx1"/>
            </w14:solidFill>
          </w14:textFill>
        </w:rPr>
        <w:t>dan Solusi</w:t>
      </w:r>
    </w:p>
    <w:p>
      <w:pPr>
        <w:pStyle w:val="25"/>
        <w:spacing w:before="60" w:after="60"/>
        <w:ind w:left="567" w:right="-2" w:firstLine="686" w:firstLineChars="286"/>
        <w:jc w:val="both"/>
        <w:rPr>
          <w:rFonts w:ascii="Arial" w:hAnsi="Arial" w:cs="Arial"/>
        </w:rPr>
      </w:pPr>
      <w:r>
        <w:rPr>
          <w:rFonts w:ascii="Arial" w:hAnsi="Arial" w:cs="Arial"/>
        </w:rPr>
        <w:t>Dal</w:t>
      </w:r>
      <w:r>
        <w:rPr>
          <w:rFonts w:ascii="Arial" w:hAnsi="Arial" w:cs="Arial"/>
          <w:spacing w:val="-2"/>
        </w:rPr>
        <w:t>a</w:t>
      </w:r>
      <w:r>
        <w:rPr>
          <w:rFonts w:ascii="Arial" w:hAnsi="Arial" w:cs="Arial"/>
        </w:rPr>
        <w:t>m</w:t>
      </w:r>
      <w:r>
        <w:rPr>
          <w:rFonts w:ascii="Arial" w:hAnsi="Arial" w:cs="Arial"/>
          <w:spacing w:val="3"/>
        </w:rPr>
        <w:t xml:space="preserve"> </w:t>
      </w:r>
      <w:r>
        <w:rPr>
          <w:rFonts w:hint="default" w:ascii="Arial" w:hAnsi="Arial" w:cs="Arial"/>
          <w:lang w:val="zh-CN"/>
        </w:rPr>
        <w:t>Pengelolaan Barang Milik Daerah</w:t>
      </w:r>
      <w:r>
        <w:rPr>
          <w:rFonts w:ascii="Arial" w:hAnsi="Arial" w:cs="Arial"/>
          <w:spacing w:val="1"/>
        </w:rPr>
        <w:t xml:space="preserve"> </w:t>
      </w:r>
      <w:r>
        <w:rPr>
          <w:rFonts w:ascii="Arial" w:hAnsi="Arial" w:cs="Arial"/>
        </w:rPr>
        <w:t>Provinsi Sumatera Barat</w:t>
      </w:r>
      <w:r>
        <w:rPr>
          <w:rFonts w:ascii="Arial" w:hAnsi="Arial" w:cs="Arial"/>
          <w:spacing w:val="3"/>
        </w:rPr>
        <w:t xml:space="preserve"> </w:t>
      </w:r>
      <w:r>
        <w:rPr>
          <w:rFonts w:ascii="Arial" w:hAnsi="Arial" w:cs="Arial"/>
          <w:spacing w:val="1"/>
        </w:rPr>
        <w:t>T</w:t>
      </w:r>
      <w:r>
        <w:rPr>
          <w:rFonts w:ascii="Arial" w:hAnsi="Arial" w:cs="Arial"/>
        </w:rPr>
        <w:t>ahun 201</w:t>
      </w:r>
      <w:r>
        <w:rPr>
          <w:rFonts w:hint="default" w:ascii="Arial" w:hAnsi="Arial" w:cs="Arial"/>
          <w:lang w:val="zh-CN"/>
        </w:rPr>
        <w:t>9</w:t>
      </w:r>
      <w:r>
        <w:rPr>
          <w:rFonts w:ascii="Arial" w:hAnsi="Arial" w:cs="Arial"/>
        </w:rPr>
        <w:t>,</w:t>
      </w:r>
      <w:r>
        <w:rPr>
          <w:rFonts w:ascii="Arial" w:hAnsi="Arial" w:cs="Arial"/>
          <w:spacing w:val="3"/>
        </w:rPr>
        <w:t xml:space="preserve"> </w:t>
      </w:r>
      <w:r>
        <w:rPr>
          <w:rFonts w:hint="default" w:ascii="Arial" w:hAnsi="Arial" w:cs="Arial"/>
          <w:color w:val="000000" w:themeColor="text1"/>
          <w:lang w:val="zh-CN"/>
          <w14:textFill>
            <w14:solidFill>
              <w14:schemeClr w14:val="tx1"/>
            </w14:solidFill>
          </w14:textFill>
        </w:rPr>
        <w:t>Biro Administrasi Pengadaan dan Pengelolaan BMD</w:t>
      </w:r>
      <w:r>
        <w:rPr>
          <w:rFonts w:ascii="Arial" w:hAnsi="Arial" w:cs="Arial"/>
        </w:rPr>
        <w:t xml:space="preserve"> </w:t>
      </w:r>
      <w:r>
        <w:rPr>
          <w:rFonts w:ascii="Arial" w:hAnsi="Arial" w:cs="Arial"/>
          <w:spacing w:val="1"/>
        </w:rPr>
        <w:t>m</w:t>
      </w:r>
      <w:r>
        <w:rPr>
          <w:rFonts w:ascii="Arial" w:hAnsi="Arial" w:cs="Arial"/>
        </w:rPr>
        <w:t>a</w:t>
      </w:r>
      <w:r>
        <w:rPr>
          <w:rFonts w:ascii="Arial" w:hAnsi="Arial" w:cs="Arial"/>
          <w:spacing w:val="-1"/>
        </w:rPr>
        <w:t>s</w:t>
      </w:r>
      <w:r>
        <w:rPr>
          <w:rFonts w:ascii="Arial" w:hAnsi="Arial" w:cs="Arial"/>
          <w:spacing w:val="1"/>
        </w:rPr>
        <w:t>i</w:t>
      </w:r>
      <w:r>
        <w:rPr>
          <w:rFonts w:ascii="Arial" w:hAnsi="Arial" w:cs="Arial"/>
        </w:rPr>
        <w:t>h</w:t>
      </w:r>
      <w:r>
        <w:rPr>
          <w:rFonts w:ascii="Arial" w:hAnsi="Arial" w:cs="Arial"/>
          <w:spacing w:val="2"/>
        </w:rPr>
        <w:t xml:space="preserve"> </w:t>
      </w:r>
      <w:r>
        <w:rPr>
          <w:rFonts w:ascii="Arial" w:hAnsi="Arial" w:cs="Arial"/>
          <w:spacing w:val="1"/>
        </w:rPr>
        <w:t>m</w:t>
      </w:r>
      <w:r>
        <w:rPr>
          <w:rFonts w:ascii="Arial" w:hAnsi="Arial" w:cs="Arial"/>
          <w:spacing w:val="-1"/>
        </w:rPr>
        <w:t>eng</w:t>
      </w:r>
      <w:r>
        <w:rPr>
          <w:rFonts w:ascii="Arial" w:hAnsi="Arial" w:cs="Arial"/>
        </w:rPr>
        <w:t>ala</w:t>
      </w:r>
      <w:r>
        <w:rPr>
          <w:rFonts w:ascii="Arial" w:hAnsi="Arial" w:cs="Arial"/>
          <w:spacing w:val="1"/>
        </w:rPr>
        <w:t>m</w:t>
      </w:r>
      <w:r>
        <w:rPr>
          <w:rFonts w:ascii="Arial" w:hAnsi="Arial" w:cs="Arial"/>
        </w:rPr>
        <w:t>i</w:t>
      </w:r>
      <w:r>
        <w:rPr>
          <w:rFonts w:ascii="Arial" w:hAnsi="Arial" w:cs="Arial"/>
          <w:spacing w:val="4"/>
        </w:rPr>
        <w:t xml:space="preserve"> </w:t>
      </w:r>
      <w:r>
        <w:rPr>
          <w:rFonts w:ascii="Arial" w:hAnsi="Arial" w:cs="Arial"/>
          <w:spacing w:val="-1"/>
        </w:rPr>
        <w:t>b</w:t>
      </w:r>
      <w:r>
        <w:rPr>
          <w:rFonts w:ascii="Arial" w:hAnsi="Arial" w:cs="Arial"/>
          <w:spacing w:val="-2"/>
        </w:rPr>
        <w:t>e</w:t>
      </w:r>
      <w:r>
        <w:rPr>
          <w:rFonts w:ascii="Arial" w:hAnsi="Arial" w:cs="Arial"/>
        </w:rPr>
        <w:t>r</w:t>
      </w:r>
      <w:r>
        <w:rPr>
          <w:rFonts w:ascii="Arial" w:hAnsi="Arial" w:cs="Arial"/>
          <w:spacing w:val="-1"/>
        </w:rPr>
        <w:t>b</w:t>
      </w:r>
      <w:r>
        <w:rPr>
          <w:rFonts w:ascii="Arial" w:hAnsi="Arial" w:cs="Arial"/>
        </w:rPr>
        <w:t>a</w:t>
      </w:r>
      <w:r>
        <w:rPr>
          <w:rFonts w:ascii="Arial" w:hAnsi="Arial" w:cs="Arial"/>
          <w:spacing w:val="-1"/>
        </w:rPr>
        <w:t>g</w:t>
      </w:r>
      <w:r>
        <w:rPr>
          <w:rFonts w:ascii="Arial" w:hAnsi="Arial" w:cs="Arial"/>
        </w:rPr>
        <w:t>ai</w:t>
      </w:r>
      <w:r>
        <w:rPr>
          <w:rFonts w:ascii="Arial" w:hAnsi="Arial" w:cs="Arial"/>
          <w:spacing w:val="4"/>
        </w:rPr>
        <w:t xml:space="preserve"> </w:t>
      </w:r>
      <w:r>
        <w:rPr>
          <w:rFonts w:ascii="Arial" w:hAnsi="Arial" w:cs="Arial"/>
        </w:rPr>
        <w:t>ke</w:t>
      </w:r>
      <w:r>
        <w:rPr>
          <w:rFonts w:ascii="Arial" w:hAnsi="Arial" w:cs="Arial"/>
          <w:spacing w:val="-1"/>
        </w:rPr>
        <w:t>n</w:t>
      </w:r>
      <w:r>
        <w:rPr>
          <w:rFonts w:ascii="Arial" w:hAnsi="Arial" w:cs="Arial"/>
          <w:spacing w:val="-3"/>
        </w:rPr>
        <w:t>d</w:t>
      </w:r>
      <w:r>
        <w:rPr>
          <w:rFonts w:ascii="Arial" w:hAnsi="Arial" w:cs="Arial"/>
        </w:rPr>
        <w:t>a</w:t>
      </w:r>
      <w:r>
        <w:rPr>
          <w:rFonts w:ascii="Arial" w:hAnsi="Arial" w:cs="Arial"/>
          <w:spacing w:val="-2"/>
        </w:rPr>
        <w:t>l</w:t>
      </w:r>
      <w:r>
        <w:rPr>
          <w:rFonts w:ascii="Arial" w:hAnsi="Arial" w:cs="Arial"/>
        </w:rPr>
        <w:t>a dan permasalahan, antara lain:</w:t>
      </w:r>
    </w:p>
    <w:p>
      <w:pPr>
        <w:pStyle w:val="25"/>
        <w:numPr>
          <w:ilvl w:val="0"/>
          <w:numId w:val="5"/>
        </w:numPr>
        <w:spacing w:before="60" w:after="60"/>
        <w:ind w:left="1134" w:right="-2" w:hanging="567"/>
        <w:jc w:val="both"/>
        <w:rPr>
          <w:rFonts w:ascii="Arial" w:hAnsi="Arial" w:cs="Arial"/>
        </w:rPr>
      </w:pPr>
      <w:r>
        <w:rPr>
          <w:rFonts w:hint="default" w:ascii="Arial" w:hAnsi="Arial" w:cs="Arial"/>
          <w:color w:val="000000" w:themeColor="text1"/>
          <w:lang w:val="zh-CN"/>
          <w14:textFill>
            <w14:solidFill>
              <w14:schemeClr w14:val="tx1"/>
            </w14:solidFill>
          </w14:textFill>
        </w:rPr>
        <w:t>B</w:t>
      </w:r>
      <w:r>
        <w:rPr>
          <w:rFonts w:ascii="Arial" w:hAnsi="Arial" w:cs="Arial"/>
          <w:color w:val="000000" w:themeColor="text1"/>
          <w14:textFill>
            <w14:solidFill>
              <w14:schemeClr w14:val="tx1"/>
            </w14:solidFill>
          </w14:textFill>
        </w:rPr>
        <w:t>e</w:t>
      </w:r>
      <w:r>
        <w:rPr>
          <w:rFonts w:hint="default" w:ascii="Arial" w:hAnsi="Arial" w:cs="Arial"/>
          <w:color w:val="000000" w:themeColor="text1"/>
          <w:lang w:val="zh-CN"/>
          <w14:textFill>
            <w14:solidFill>
              <w14:schemeClr w14:val="tx1"/>
            </w14:solidFill>
          </w14:textFill>
        </w:rPr>
        <w:t>lum optimalnya tata kelola aset dalam hal legalitas kepemilikan aset</w:t>
      </w:r>
      <w:r>
        <w:rPr>
          <w:rFonts w:ascii="Arial" w:hAnsi="Arial" w:cs="Arial"/>
          <w:color w:val="000000" w:themeColor="text1"/>
          <w14:textFill>
            <w14:solidFill>
              <w14:schemeClr w14:val="tx1"/>
            </w14:solidFill>
          </w14:textFill>
        </w:rPr>
        <w:t>.</w:t>
      </w:r>
    </w:p>
    <w:p>
      <w:pPr>
        <w:pStyle w:val="25"/>
        <w:spacing w:before="60" w:after="60"/>
        <w:ind w:left="1134" w:right="-2"/>
        <w:jc w:val="both"/>
        <w:rPr>
          <w:rFonts w:ascii="Arial" w:hAnsi="Arial" w:cs="Arial"/>
          <w:b/>
          <w:i/>
        </w:rPr>
      </w:pPr>
      <w:r>
        <w:rPr>
          <w:rFonts w:ascii="Arial" w:hAnsi="Arial" w:cs="Arial"/>
          <w:b/>
          <w:i/>
        </w:rPr>
        <w:t xml:space="preserve">Dengan Solusi : </w:t>
      </w:r>
    </w:p>
    <w:p>
      <w:pPr>
        <w:pStyle w:val="25"/>
        <w:spacing w:before="60" w:after="60"/>
        <w:ind w:left="1134" w:right="-2"/>
        <w:jc w:val="both"/>
        <w:rPr>
          <w:rFonts w:hint="default" w:ascii="Arial" w:hAnsi="Arial" w:cs="Arial"/>
          <w:color w:val="000000" w:themeColor="text1"/>
          <w:lang w:val="zh-CN"/>
          <w14:textFill>
            <w14:solidFill>
              <w14:schemeClr w14:val="tx1"/>
            </w14:solidFill>
          </w14:textFill>
        </w:rPr>
      </w:pPr>
      <w:r>
        <w:rPr>
          <w:rFonts w:ascii="Arial" w:hAnsi="Arial" w:cs="Arial"/>
          <w:color w:val="000000" w:themeColor="text1"/>
          <w14:textFill>
            <w14:solidFill>
              <w14:schemeClr w14:val="tx1"/>
            </w14:solidFill>
          </w14:textFill>
        </w:rPr>
        <w:t>Me</w:t>
      </w:r>
      <w:r>
        <w:rPr>
          <w:rFonts w:hint="default" w:ascii="Arial" w:hAnsi="Arial" w:cs="Arial"/>
          <w:color w:val="000000" w:themeColor="text1"/>
          <w:lang w:val="zh-CN"/>
          <w14:textFill>
            <w14:solidFill>
              <w14:schemeClr w14:val="tx1"/>
            </w14:solidFill>
          </w14:textFill>
        </w:rPr>
        <w:t>lakukan koordinasi dengan pihak ATR/BPN dalam percepatan pengurusan pensertifikatan tanah milik Pemerintah Provinsi Sumatera Barat.</w:t>
      </w:r>
    </w:p>
    <w:p>
      <w:pPr>
        <w:pStyle w:val="25"/>
        <w:numPr>
          <w:ilvl w:val="0"/>
          <w:numId w:val="5"/>
        </w:numPr>
        <w:spacing w:before="60" w:after="60"/>
        <w:ind w:left="1134" w:right="-2" w:hanging="567"/>
        <w:jc w:val="both"/>
        <w:rPr>
          <w:rFonts w:ascii="Arial" w:hAnsi="Arial" w:cs="Arial"/>
        </w:rPr>
      </w:pPr>
      <w:r>
        <w:rPr>
          <w:rFonts w:hint="default" w:ascii="Arial" w:hAnsi="Arial" w:cs="Arial"/>
          <w:color w:val="000000" w:themeColor="text1"/>
          <w:lang w:val="zh-CN"/>
          <w14:textFill>
            <w14:solidFill>
              <w14:schemeClr w14:val="tx1"/>
            </w14:solidFill>
          </w14:textFill>
        </w:rPr>
        <w:t>Belum optimalnya pengamanan aset dari sisi fisik</w:t>
      </w:r>
      <w:r>
        <w:rPr>
          <w:rFonts w:ascii="Arial" w:hAnsi="Arial" w:cs="Arial"/>
          <w:color w:val="000000" w:themeColor="text1"/>
          <w:lang w:val="id-ID"/>
          <w14:textFill>
            <w14:solidFill>
              <w14:schemeClr w14:val="tx1"/>
            </w14:solidFill>
          </w14:textFill>
        </w:rPr>
        <w:t xml:space="preserve"> </w:t>
      </w:r>
    </w:p>
    <w:p>
      <w:pPr>
        <w:pStyle w:val="25"/>
        <w:spacing w:before="60" w:after="60"/>
        <w:ind w:left="1134" w:right="-2"/>
        <w:jc w:val="both"/>
        <w:rPr>
          <w:rFonts w:ascii="Arial" w:hAnsi="Arial" w:cs="Arial"/>
          <w:color w:val="000000" w:themeColor="text1"/>
          <w14:textFill>
            <w14:solidFill>
              <w14:schemeClr w14:val="tx1"/>
            </w14:solidFill>
          </w14:textFill>
        </w:rPr>
      </w:pPr>
      <w:r>
        <w:rPr>
          <w:rFonts w:ascii="Arial" w:hAnsi="Arial" w:cs="Arial"/>
          <w:b/>
          <w:i/>
          <w:color w:val="000000" w:themeColor="text1"/>
          <w14:textFill>
            <w14:solidFill>
              <w14:schemeClr w14:val="tx1"/>
            </w14:solidFill>
          </w14:textFill>
        </w:rPr>
        <w:t xml:space="preserve">Dengan Solusi </w:t>
      </w:r>
      <w:r>
        <w:rPr>
          <w:rFonts w:ascii="Arial" w:hAnsi="Arial" w:cs="Arial"/>
          <w:b/>
          <w:color w:val="000000" w:themeColor="text1"/>
          <w14:textFill>
            <w14:solidFill>
              <w14:schemeClr w14:val="tx1"/>
            </w14:solidFill>
          </w14:textFill>
        </w:rPr>
        <w:t>:</w:t>
      </w:r>
      <w:r>
        <w:rPr>
          <w:rFonts w:ascii="Arial" w:hAnsi="Arial" w:cs="Arial"/>
          <w:color w:val="000000" w:themeColor="text1"/>
          <w14:textFill>
            <w14:solidFill>
              <w14:schemeClr w14:val="tx1"/>
            </w14:solidFill>
          </w14:textFill>
        </w:rPr>
        <w:t xml:space="preserve"> </w:t>
      </w:r>
    </w:p>
    <w:p>
      <w:pPr>
        <w:pStyle w:val="25"/>
        <w:spacing w:before="60" w:after="60"/>
        <w:ind w:left="1134" w:right="-2"/>
        <w:jc w:val="both"/>
        <w:rPr>
          <w:rFonts w:hint="default" w:ascii="Arial" w:hAnsi="Arial" w:cs="Arial"/>
          <w:color w:val="000000" w:themeColor="text1"/>
          <w:lang w:val="zh-CN"/>
          <w14:textFill>
            <w14:solidFill>
              <w14:schemeClr w14:val="tx1"/>
            </w14:solidFill>
          </w14:textFill>
        </w:rPr>
      </w:pPr>
      <w:r>
        <w:rPr>
          <w:rFonts w:hint="default" w:ascii="Arial" w:hAnsi="Arial" w:cs="Arial"/>
          <w:color w:val="000000" w:themeColor="text1"/>
          <w:lang w:val="zh-CN"/>
          <w14:textFill>
            <w14:solidFill>
              <w14:schemeClr w14:val="tx1"/>
            </w14:solidFill>
          </w14:textFill>
        </w:rPr>
        <w:t>Dilakukan pendataan aset tanah dan bangunan milik Pemerintah Provinsi Sumatera Barat yang menyebar di Kabupaten/Kota yang belum mempunyai plang tanah dan label bangunan dan juga penambahan anggaran terkait pembuatan plang tanah dan label bangunan tersebut.</w:t>
      </w:r>
    </w:p>
    <w:p>
      <w:pPr>
        <w:pStyle w:val="25"/>
        <w:spacing w:before="60" w:after="60"/>
        <w:ind w:left="0" w:leftChars="0" w:firstLine="0" w:firstLineChars="0"/>
        <w:contextualSpacing w:val="0"/>
        <w:jc w:val="both"/>
        <w:rPr>
          <w:rFonts w:ascii="Arial" w:hAnsi="Arial" w:cs="Arial"/>
          <w:b/>
          <w:highlight w:val="yellow"/>
        </w:rPr>
      </w:pPr>
    </w:p>
    <w:p>
      <w:pPr>
        <w:pStyle w:val="25"/>
        <w:spacing w:before="60" w:after="60"/>
        <w:ind w:left="0" w:leftChars="0" w:firstLine="0" w:firstLineChars="0"/>
        <w:contextualSpacing w:val="0"/>
        <w:jc w:val="both"/>
        <w:rPr>
          <w:rFonts w:ascii="Arial" w:hAnsi="Arial" w:cs="Arial"/>
          <w:b/>
          <w:highlight w:val="yellow"/>
        </w:rPr>
      </w:pPr>
    </w:p>
    <w:p>
      <w:pPr>
        <w:pStyle w:val="25"/>
        <w:numPr>
          <w:ilvl w:val="0"/>
          <w:numId w:val="1"/>
        </w:numPr>
        <w:spacing w:before="60" w:after="60"/>
        <w:ind w:left="567" w:hanging="567"/>
        <w:contextualSpacing w:val="0"/>
        <w:jc w:val="both"/>
        <w:rPr>
          <w:rFonts w:ascii="Arial" w:hAnsi="Arial" w:cs="Arial"/>
          <w:b/>
          <w:highlight w:val="none"/>
        </w:rPr>
      </w:pPr>
      <w:r>
        <w:rPr>
          <w:rFonts w:ascii="Arial" w:hAnsi="Arial" w:cs="Arial"/>
          <w:b/>
          <w:highlight w:val="none"/>
        </w:rPr>
        <w:t>Tindak Lanjut Rekomendasi DPRD terhadap LKPJ Tahun 201</w:t>
      </w:r>
      <w:r>
        <w:rPr>
          <w:rFonts w:hint="default" w:ascii="Arial" w:hAnsi="Arial" w:cs="Arial"/>
          <w:b/>
          <w:highlight w:val="none"/>
          <w:lang w:val="zh-CN"/>
        </w:rPr>
        <w:t>8</w:t>
      </w:r>
    </w:p>
    <w:p>
      <w:pPr>
        <w:spacing w:before="60" w:after="60"/>
        <w:ind w:left="567" w:right="-2" w:firstLine="567"/>
        <w:jc w:val="both"/>
        <w:rPr>
          <w:rFonts w:ascii="Arial" w:hAnsi="Arial" w:cs="Arial"/>
          <w:highlight w:val="none"/>
        </w:rPr>
      </w:pPr>
      <w:r>
        <w:rPr>
          <w:rFonts w:ascii="Arial" w:hAnsi="Arial" w:cs="Arial"/>
          <w:highlight w:val="none"/>
        </w:rPr>
        <w:t>Terkait dengan Rekomendasi DPRD Provinsi Sumatera Barat terhadap LKPJ Akhir Tahun Anggaran 201</w:t>
      </w:r>
      <w:r>
        <w:rPr>
          <w:rFonts w:hint="default" w:ascii="Arial" w:hAnsi="Arial" w:cs="Arial"/>
          <w:highlight w:val="none"/>
          <w:lang w:val="zh-CN"/>
        </w:rPr>
        <w:t>8</w:t>
      </w:r>
      <w:r>
        <w:rPr>
          <w:rFonts w:ascii="Arial" w:hAnsi="Arial" w:cs="Arial"/>
          <w:highlight w:val="none"/>
        </w:rPr>
        <w:t xml:space="preserve">, terdapat  beberapa rekomendasi </w:t>
      </w:r>
      <w:r>
        <w:rPr>
          <w:rFonts w:hint="default" w:ascii="Arial" w:hAnsi="Arial" w:cs="Arial"/>
          <w:highlight w:val="none"/>
          <w:lang w:val="zh-CN"/>
        </w:rPr>
        <w:t xml:space="preserve">terhadap pelaksanaan fungsi penunjang urusan pemerintah </w:t>
      </w:r>
      <w:r>
        <w:rPr>
          <w:rFonts w:ascii="Arial" w:hAnsi="Arial" w:cs="Arial"/>
          <w:highlight w:val="none"/>
        </w:rPr>
        <w:t>adalah sebagai berikut :</w:t>
      </w:r>
    </w:p>
    <w:p>
      <w:pPr>
        <w:spacing w:before="60" w:after="60"/>
        <w:ind w:left="0" w:leftChars="0" w:right="-2" w:firstLine="0" w:firstLineChars="0"/>
        <w:jc w:val="both"/>
        <w:rPr>
          <w:rFonts w:ascii="Arial" w:hAnsi="Arial" w:cs="Arial"/>
          <w:highlight w:val="yellow"/>
        </w:rPr>
      </w:pPr>
    </w:p>
    <w:tbl>
      <w:tblPr>
        <w:tblStyle w:val="14"/>
        <w:tblW w:w="9809" w:type="dxa"/>
        <w:tblInd w:w="0" w:type="dxa"/>
        <w:shd w:val="clear" w:color="auto" w:fill="auto"/>
        <w:tblLayout w:type="fixed"/>
        <w:tblCellMar>
          <w:top w:w="0" w:type="dxa"/>
          <w:left w:w="0" w:type="dxa"/>
          <w:bottom w:w="0" w:type="dxa"/>
          <w:right w:w="0" w:type="dxa"/>
        </w:tblCellMar>
      </w:tblPr>
      <w:tblGrid>
        <w:gridCol w:w="390"/>
        <w:gridCol w:w="2340"/>
        <w:gridCol w:w="1455"/>
        <w:gridCol w:w="1995"/>
        <w:gridCol w:w="2743"/>
        <w:gridCol w:w="886"/>
      </w:tblGrid>
      <w:tr>
        <w:tblPrEx>
          <w:shd w:val="clear" w:color="auto" w:fill="auto"/>
          <w:tblCellMar>
            <w:top w:w="0" w:type="dxa"/>
            <w:left w:w="0" w:type="dxa"/>
            <w:bottom w:w="0" w:type="dxa"/>
            <w:right w:w="0" w:type="dxa"/>
          </w:tblCellMar>
        </w:tblPrEx>
        <w:trPr>
          <w:trHeight w:val="320" w:hRule="atLeast"/>
        </w:trPr>
        <w:tc>
          <w:tcPr>
            <w:tcW w:w="39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b/>
                <w:i w:val="0"/>
                <w:color w:val="000000"/>
                <w:sz w:val="20"/>
                <w:szCs w:val="20"/>
                <w:u w:val="none"/>
              </w:rPr>
            </w:pPr>
            <w:r>
              <w:rPr>
                <w:rFonts w:hint="default" w:ascii="Arial Narrow" w:hAnsi="Arial Narrow" w:eastAsia="Arial Narrow" w:cs="Arial Narrow"/>
                <w:b/>
                <w:i w:val="0"/>
                <w:color w:val="000000"/>
                <w:kern w:val="0"/>
                <w:sz w:val="20"/>
                <w:szCs w:val="20"/>
                <w:u w:val="none"/>
                <w:lang w:val="en-US" w:eastAsia="zh-CN" w:bidi="ar"/>
              </w:rPr>
              <w:t>No.</w:t>
            </w:r>
          </w:p>
        </w:tc>
        <w:tc>
          <w:tcPr>
            <w:tcW w:w="234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b/>
                <w:i w:val="0"/>
                <w:color w:val="000000"/>
                <w:sz w:val="20"/>
                <w:szCs w:val="20"/>
                <w:u w:val="none"/>
              </w:rPr>
            </w:pPr>
            <w:r>
              <w:rPr>
                <w:rFonts w:hint="default" w:ascii="Arial Narrow" w:hAnsi="Arial Narrow" w:eastAsia="Arial Narrow" w:cs="Arial Narrow"/>
                <w:b/>
                <w:i w:val="0"/>
                <w:color w:val="000000"/>
                <w:kern w:val="0"/>
                <w:sz w:val="20"/>
                <w:szCs w:val="20"/>
                <w:u w:val="none"/>
                <w:lang w:val="en-US" w:eastAsia="zh-CN" w:bidi="ar"/>
              </w:rPr>
              <w:t>Rekomendasi</w:t>
            </w:r>
          </w:p>
        </w:tc>
        <w:tc>
          <w:tcPr>
            <w:tcW w:w="145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b/>
                <w:i w:val="0"/>
                <w:color w:val="000000"/>
                <w:sz w:val="20"/>
                <w:szCs w:val="20"/>
                <w:u w:val="none"/>
              </w:rPr>
            </w:pPr>
            <w:r>
              <w:rPr>
                <w:rFonts w:hint="default" w:ascii="Arial Narrow" w:hAnsi="Arial Narrow" w:eastAsia="Arial Narrow" w:cs="Arial Narrow"/>
                <w:b/>
                <w:i w:val="0"/>
                <w:color w:val="000000"/>
                <w:kern w:val="0"/>
                <w:sz w:val="20"/>
                <w:szCs w:val="20"/>
                <w:u w:val="none"/>
                <w:lang w:val="en-US" w:eastAsia="zh-CN" w:bidi="ar"/>
              </w:rPr>
              <w:t>SKPD Terkait</w:t>
            </w: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b/>
                <w:i w:val="0"/>
                <w:color w:val="000000"/>
                <w:sz w:val="20"/>
                <w:szCs w:val="20"/>
                <w:u w:val="none"/>
              </w:rPr>
            </w:pPr>
            <w:r>
              <w:rPr>
                <w:rFonts w:hint="default" w:ascii="Arial Narrow" w:hAnsi="Arial Narrow" w:eastAsia="Arial Narrow" w:cs="Arial Narrow"/>
                <w:b/>
                <w:i w:val="0"/>
                <w:color w:val="000000"/>
                <w:kern w:val="0"/>
                <w:sz w:val="20"/>
                <w:szCs w:val="20"/>
                <w:u w:val="none"/>
                <w:lang w:val="en-US" w:eastAsia="zh-CN" w:bidi="ar"/>
              </w:rPr>
              <w:t>Tenggang Waktu</w:t>
            </w: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b/>
                <w:i w:val="0"/>
                <w:color w:val="000000"/>
                <w:sz w:val="20"/>
                <w:szCs w:val="20"/>
                <w:u w:val="none"/>
              </w:rPr>
            </w:pPr>
            <w:r>
              <w:rPr>
                <w:rFonts w:hint="default" w:ascii="Arial Narrow" w:hAnsi="Arial Narrow" w:eastAsia="Arial Narrow" w:cs="Arial Narrow"/>
                <w:b/>
                <w:i w:val="0"/>
                <w:color w:val="000000"/>
                <w:kern w:val="0"/>
                <w:sz w:val="20"/>
                <w:szCs w:val="20"/>
                <w:u w:val="none"/>
                <w:lang w:val="en-US" w:eastAsia="zh-CN" w:bidi="ar"/>
              </w:rPr>
              <w:t>Tindak Lanjut</w:t>
            </w: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b/>
                <w:i w:val="0"/>
                <w:color w:val="000000"/>
                <w:sz w:val="20"/>
                <w:szCs w:val="20"/>
                <w:u w:val="none"/>
              </w:rPr>
            </w:pPr>
            <w:r>
              <w:rPr>
                <w:rFonts w:hint="default" w:ascii="Arial Narrow" w:hAnsi="Arial Narrow" w:eastAsia="Arial Narrow" w:cs="Arial Narrow"/>
                <w:b/>
                <w:i w:val="0"/>
                <w:color w:val="000000"/>
                <w:kern w:val="0"/>
                <w:sz w:val="20"/>
                <w:szCs w:val="20"/>
                <w:u w:val="none"/>
                <w:lang w:val="en-US" w:eastAsia="zh-CN" w:bidi="ar"/>
              </w:rPr>
              <w:t>Ket</w:t>
            </w:r>
          </w:p>
        </w:tc>
      </w:tr>
      <w:tr>
        <w:tblPrEx>
          <w:shd w:val="clear" w:color="auto" w:fill="auto"/>
          <w:tblCellMar>
            <w:top w:w="0" w:type="dxa"/>
            <w:left w:w="0" w:type="dxa"/>
            <w:bottom w:w="0" w:type="dxa"/>
            <w:right w:w="0" w:type="dxa"/>
          </w:tblCellMar>
        </w:tblPrEx>
        <w:trPr>
          <w:trHeight w:val="320" w:hRule="atLeast"/>
        </w:trPr>
        <w:tc>
          <w:tcPr>
            <w:tcW w:w="39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rPr>
                <w:rFonts w:hint="default" w:ascii="Arial Narrow" w:hAnsi="Arial Narrow" w:eastAsia="Arial Narrow" w:cs="Arial Narrow"/>
                <w:i w:val="0"/>
                <w:color w:val="000000"/>
                <w:sz w:val="20"/>
                <w:szCs w:val="20"/>
                <w:u w:val="none"/>
              </w:rPr>
            </w:pPr>
          </w:p>
        </w:tc>
        <w:tc>
          <w:tcPr>
            <w:tcW w:w="23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bottom"/>
          </w:tcPr>
          <w:p>
            <w:pPr>
              <w:jc w:val="both"/>
              <w:rPr>
                <w:rFonts w:hint="default" w:ascii="Arial Narrow" w:hAnsi="Arial Narrow" w:eastAsia="Arial Narrow" w:cs="Arial Narrow"/>
                <w:b/>
                <w:i w:val="0"/>
                <w:color w:val="000000"/>
                <w:sz w:val="20"/>
                <w:szCs w:val="20"/>
                <w:u w:val="none"/>
              </w:rPr>
            </w:pPr>
          </w:p>
        </w:tc>
        <w:tc>
          <w:tcPr>
            <w:tcW w:w="145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rPr>
                <w:rFonts w:hint="default" w:ascii="Arial Narrow" w:hAnsi="Arial Narrow" w:eastAsia="Arial Narrow" w:cs="Arial Narrow"/>
                <w:i w:val="0"/>
                <w:color w:val="000000"/>
                <w:sz w:val="20"/>
                <w:szCs w:val="20"/>
                <w:u w:val="none"/>
              </w:rPr>
            </w:pP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rPr>
                <w:rFonts w:hint="default" w:ascii="Arial Narrow" w:hAnsi="Arial Narrow" w:eastAsia="Arial Narrow" w:cs="Arial Narrow"/>
                <w:i w:val="0"/>
                <w:color w:val="000000"/>
                <w:sz w:val="20"/>
                <w:szCs w:val="20"/>
                <w:u w:val="none"/>
              </w:rPr>
            </w:pP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rPr>
                <w:rFonts w:hint="default" w:ascii="Arial Narrow" w:hAnsi="Arial Narrow" w:eastAsia="Arial Narrow" w:cs="Arial Narrow"/>
                <w:i w:val="0"/>
                <w:color w:val="000000"/>
                <w:sz w:val="20"/>
                <w:szCs w:val="20"/>
                <w:u w:val="none"/>
              </w:rPr>
            </w:pP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320" w:hRule="atLeast"/>
        </w:trPr>
        <w:tc>
          <w:tcPr>
            <w:tcW w:w="39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default" w:ascii="Arial Narrow" w:hAnsi="Arial Narrow" w:eastAsia="Arial Narrow" w:cs="Arial Narrow"/>
                <w:b/>
                <w:i w:val="0"/>
                <w:color w:val="000000"/>
                <w:sz w:val="20"/>
                <w:szCs w:val="20"/>
                <w:u w:val="none"/>
              </w:rPr>
            </w:pPr>
            <w:r>
              <w:rPr>
                <w:rFonts w:hint="default" w:ascii="Arial Narrow" w:hAnsi="Arial Narrow" w:eastAsia="Arial Narrow" w:cs="Arial Narrow"/>
                <w:b/>
                <w:i w:val="0"/>
                <w:color w:val="000000"/>
                <w:kern w:val="0"/>
                <w:sz w:val="20"/>
                <w:szCs w:val="20"/>
                <w:u w:val="none"/>
                <w:lang w:val="en-US" w:eastAsia="zh-CN" w:bidi="ar"/>
              </w:rPr>
              <w:t>1</w:t>
            </w:r>
          </w:p>
        </w:tc>
        <w:tc>
          <w:tcPr>
            <w:tcW w:w="234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keepNext w:val="0"/>
              <w:keepLines w:val="0"/>
              <w:widowControl/>
              <w:suppressLineNumbers w:val="0"/>
              <w:jc w:val="left"/>
              <w:textAlignment w:val="bottom"/>
              <w:rPr>
                <w:rFonts w:hint="default" w:ascii="Arial Narrow" w:hAnsi="Arial Narrow" w:eastAsia="Arial Narrow" w:cs="Arial Narrow"/>
                <w:b/>
                <w:i w:val="0"/>
                <w:color w:val="000000"/>
                <w:sz w:val="20"/>
                <w:szCs w:val="20"/>
                <w:u w:val="none"/>
              </w:rPr>
            </w:pPr>
            <w:r>
              <w:rPr>
                <w:rFonts w:hint="default" w:ascii="Arial Narrow" w:hAnsi="Arial Narrow" w:eastAsia="Arial Narrow" w:cs="Arial Narrow"/>
                <w:b/>
                <w:i w:val="0"/>
                <w:color w:val="000000"/>
                <w:kern w:val="0"/>
                <w:sz w:val="20"/>
                <w:szCs w:val="20"/>
                <w:u w:val="none"/>
                <w:lang w:val="en-US" w:eastAsia="zh-CN" w:bidi="ar"/>
              </w:rPr>
              <w:t>Fungsi Penunjang Urusan Pemerintah</w:t>
            </w:r>
          </w:p>
        </w:tc>
        <w:tc>
          <w:tcPr>
            <w:tcW w:w="145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rPr>
                <w:rFonts w:hint="default" w:ascii="Arial Narrow" w:hAnsi="Arial Narrow" w:eastAsia="Arial Narrow" w:cs="Arial Narrow"/>
                <w:i w:val="0"/>
                <w:color w:val="000000"/>
                <w:sz w:val="20"/>
                <w:szCs w:val="20"/>
                <w:u w:val="none"/>
              </w:rPr>
            </w:pP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rPr>
                <w:rFonts w:hint="default" w:ascii="Arial Narrow" w:hAnsi="Arial Narrow" w:eastAsia="Arial Narrow" w:cs="Arial Narrow"/>
                <w:i w:val="0"/>
                <w:color w:val="000000"/>
                <w:sz w:val="20"/>
                <w:szCs w:val="20"/>
                <w:u w:val="none"/>
              </w:rPr>
            </w:pP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rPr>
                <w:rFonts w:hint="default" w:ascii="Arial Narrow" w:hAnsi="Arial Narrow" w:eastAsia="Arial Narrow" w:cs="Arial Narrow"/>
                <w:i w:val="0"/>
                <w:color w:val="000000"/>
                <w:sz w:val="20"/>
                <w:szCs w:val="20"/>
                <w:u w:val="none"/>
              </w:rPr>
            </w:pP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640" w:hRule="atLeast"/>
        </w:trPr>
        <w:tc>
          <w:tcPr>
            <w:tcW w:w="39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bottom"/>
          </w:tcPr>
          <w:p>
            <w:pPr>
              <w:rPr>
                <w:rFonts w:hint="default" w:ascii="Arial Narrow" w:hAnsi="Arial Narrow" w:eastAsia="Arial Narrow" w:cs="Arial Narrow"/>
                <w:i w:val="0"/>
                <w:color w:val="000000"/>
                <w:sz w:val="20"/>
                <w:szCs w:val="20"/>
                <w:u w:val="none"/>
              </w:rPr>
            </w:pPr>
          </w:p>
        </w:tc>
        <w:tc>
          <w:tcPr>
            <w:tcW w:w="23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Rekomendasi terhadap pelaksanaan fungsi penunjang urusan Pemerintahan sebagai berikut :</w:t>
            </w:r>
          </w:p>
        </w:tc>
        <w:tc>
          <w:tcPr>
            <w:tcW w:w="14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2520" w:hRule="atLeast"/>
        </w:trPr>
        <w:tc>
          <w:tcPr>
            <w:tcW w:w="39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3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Biro Administrasi Pengadaan dan Pengelolaan BMD, segera menuntaskan inventarisasi dan segera menguasai aset-aset dari penyerahan sub urusan kewenangan dan aset-aset dari BUMD yang likuidasi. Apabila proses ini tidak segera dituntaskan, bisa jadi nanti aset-aset tersebut dikuasai oleh pihak-pihak yang tidak berwenang, sebagaimana yang telah terjadi sebelumnya.</w:t>
            </w:r>
          </w:p>
        </w:tc>
        <w:tc>
          <w:tcPr>
            <w:tcW w:w="14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Biro Administrasi Pengadaan dan Pengelolaan BMD</w:t>
            </w: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2019/2020 (saat ini dalam proses administrasi)</w:t>
            </w: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Terhadap aset yang telah di likuidasi pada perusahan daerah</w:t>
            </w:r>
            <w:r>
              <w:rPr>
                <w:rFonts w:hint="default" w:ascii="Arial Narrow" w:hAnsi="Arial Narrow" w:eastAsia="Arial Narrow" w:cs="Arial Narrow"/>
                <w:i w:val="0"/>
                <w:color w:val="000000"/>
                <w:kern w:val="0"/>
                <w:sz w:val="20"/>
                <w:szCs w:val="20"/>
                <w:u w:val="none"/>
                <w:lang w:val="zh-CN" w:eastAsia="zh-CN" w:bidi="ar"/>
              </w:rPr>
              <w:t xml:space="preserve"> (aset yang dipisahkan)</w:t>
            </w:r>
            <w:r>
              <w:rPr>
                <w:rFonts w:hint="default" w:ascii="Arial Narrow" w:hAnsi="Arial Narrow" w:eastAsia="Arial Narrow" w:cs="Arial Narrow"/>
                <w:i w:val="0"/>
                <w:color w:val="000000"/>
                <w:kern w:val="0"/>
                <w:sz w:val="20"/>
                <w:szCs w:val="20"/>
                <w:u w:val="none"/>
                <w:lang w:val="en-US" w:eastAsia="zh-CN" w:bidi="ar"/>
              </w:rPr>
              <w:t xml:space="preserve"> telah dibentuk Tim Penyelesaiannya, yang dikoordinir oleh Biro Perekonomian dan sudah di inventarisasi dan hasilnya telah diserahkan ke KPKNL pada bulan  21 Februari 2018</w:t>
            </w: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2220" w:hRule="atLeast"/>
        </w:trPr>
        <w:tc>
          <w:tcPr>
            <w:tcW w:w="39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3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Pemerintah Daerah melalui Biro Administrasi Pengadaan dan Pengelolaan BMD, agar meningkatkan koordinasi dengan instansi terkait untuk menuntaskan penyelesaian sertifikasi tanah milik Pemerintah Daerah</w:t>
            </w:r>
          </w:p>
        </w:tc>
        <w:tc>
          <w:tcPr>
            <w:tcW w:w="14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Biro Administrasi Pengadaan dan Pengelolaan BMD</w:t>
            </w: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2021 (anggaran tersedia)</w:t>
            </w: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Sudah dilaksanakan Rapat Koordinasi dalam rangka peningkatan penyelesaian pengurusan sertifikat dengan OPD terkait pada tanggal 22 Januari 2019 berdasarkan rekomendasi dari BPK pada LKPD 2017.</w:t>
            </w: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2220" w:hRule="atLeast"/>
        </w:trPr>
        <w:tc>
          <w:tcPr>
            <w:tcW w:w="39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3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Aset-aset milik Pemerintah Daerah yang tidak dimamfaatkan agar dilakukan revitalisasi dan melakukan kerjasama dengan pihak ketiga dengan prinsip saling menguntungkan</w:t>
            </w:r>
          </w:p>
        </w:tc>
        <w:tc>
          <w:tcPr>
            <w:tcW w:w="14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Biro Administrasi Pengadaan dan Pengelolaan BMD</w:t>
            </w: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2020 (anggaran tersedia)</w:t>
            </w: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Melakukan inventarisasi terhadap aset-aset yang tidak dimamfaatkan dan mengajukan usulan anggaranuntuk proses renovasi/revitalisasi agar aset tersebut siap untuk dimamfaatkan baik oleh Pemerintah Provinsi Sumatera Barat sendiri maupun denan pihak lain</w:t>
            </w: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2840" w:hRule="atLeast"/>
        </w:trPr>
        <w:tc>
          <w:tcPr>
            <w:tcW w:w="39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3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Panitia Pengadaan Barang dan Jasa Pemerintah Daerah (ULP) harus mampu melihat sebuah kegiatan secara lebih mendalam. Penetapan pemenang tender tidak hanya memperhatikan aspek harga terendah, akan tetapi juga perlu melihat aspek lainnya, seperti kelayakan dan kepa</w:t>
            </w:r>
            <w:r>
              <w:rPr>
                <w:rFonts w:hint="default" w:ascii="Arial Narrow" w:hAnsi="Arial Narrow" w:eastAsia="Arial Narrow" w:cs="Arial Narrow"/>
                <w:i w:val="0"/>
                <w:color w:val="000000"/>
                <w:kern w:val="0"/>
                <w:sz w:val="20"/>
                <w:szCs w:val="20"/>
                <w:u w:val="none"/>
                <w:lang w:val="zh-CN" w:eastAsia="zh-CN" w:bidi="ar"/>
              </w:rPr>
              <w:t>n</w:t>
            </w:r>
            <w:r>
              <w:rPr>
                <w:rFonts w:hint="default" w:ascii="Arial Narrow" w:hAnsi="Arial Narrow" w:eastAsia="Arial Narrow" w:cs="Arial Narrow"/>
                <w:i w:val="0"/>
                <w:color w:val="000000"/>
                <w:kern w:val="0"/>
                <w:sz w:val="20"/>
                <w:szCs w:val="20"/>
                <w:u w:val="none"/>
                <w:lang w:val="en-US" w:eastAsia="zh-CN" w:bidi="ar"/>
              </w:rPr>
              <w:t>tasan harga yang diajukan dengan kualitas hasil pekerjaan</w:t>
            </w:r>
          </w:p>
        </w:tc>
        <w:tc>
          <w:tcPr>
            <w:tcW w:w="14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Biro Administrasi Pengadaan dan Pengelolaan BMD</w:t>
            </w: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Telah dilaksanakan</w:t>
            </w: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Pokja pemilihan dalam penetapan pemenang tidak hanya memperhatikan harga terendah tetapi penetepan pemenang tersebut sudah melalui proses evaluasi, administrasi, kualifikasi, teknis dan harga, sehingga penyedia dengan penawaran terendah tidak mutlak ditunjuk jadi pemenang tender</w:t>
            </w: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2220" w:hRule="atLeast"/>
        </w:trPr>
        <w:tc>
          <w:tcPr>
            <w:tcW w:w="39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3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Untuk percepatan proses tender, diminta kepada seluruh OPD untuk segera menyiapkan administrasi pelaksanaan kegiatan setelah Rancangan APBD disepakati bersama oleh DPRD dan Pemerintah Daerah serta mengusulkan proses tender ke ULP</w:t>
            </w:r>
          </w:p>
        </w:tc>
        <w:tc>
          <w:tcPr>
            <w:tcW w:w="14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Biro Administrasi Pengadaan dan Pengelolaan BMD</w:t>
            </w: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Mulai tahun 2020</w:t>
            </w: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Kami sangat setuju dengan percepatan proses tender, dan kami telah menyikapi dengan melakukan rapat evaluasi tahun sebelumnya dan himbauan untuk percepatan tahun berjalan. Untuk tahun 2020 kami akan melakukan tender dini (Pra DPA)</w:t>
            </w: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2520" w:hRule="atLeast"/>
        </w:trPr>
        <w:tc>
          <w:tcPr>
            <w:tcW w:w="39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3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ULP dan masing-masing Pokja harus diisi oleh personil yang memiliki komitmen yang tinggi terhadap tugas dan fungsi, tidak memihak serta memiliki kapasitas sesuai dengan tugas dan fungsinya. Untuk itu, Pemerintah Daerah perlu membuat kebijakan yang tegas terhadap komitmen, netralitas dan profesionalisme personil yang bertugas di ULP dan masing-masing Pokja</w:t>
            </w:r>
          </w:p>
        </w:tc>
        <w:tc>
          <w:tcPr>
            <w:tcW w:w="14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Biro Administrasi Pengadaan dan Pengelolaan BMD</w:t>
            </w: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2019</w:t>
            </w: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Dalam menjaga integritas dan komitment anggota pokja ULP, telah disusun kode etik yang telah ditetapkan oleh Gubernur, untuk pelaksanaan kode etik tersebut akan disusun SOP pelaksana Pengadaan B/J di ULP</w:t>
            </w: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320" w:hRule="atLeast"/>
        </w:trPr>
        <w:tc>
          <w:tcPr>
            <w:tcW w:w="39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3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b/>
                <w:i w:val="0"/>
                <w:color w:val="000000"/>
                <w:sz w:val="20"/>
                <w:szCs w:val="20"/>
                <w:u w:val="none"/>
              </w:rPr>
            </w:pPr>
            <w:r>
              <w:rPr>
                <w:rFonts w:hint="default" w:ascii="Arial Narrow" w:hAnsi="Arial Narrow" w:eastAsia="Arial Narrow" w:cs="Arial Narrow"/>
                <w:b/>
                <w:i w:val="0"/>
                <w:color w:val="000000"/>
                <w:kern w:val="0"/>
                <w:sz w:val="20"/>
                <w:szCs w:val="20"/>
                <w:u w:val="none"/>
                <w:lang w:val="en-US" w:eastAsia="zh-CN" w:bidi="ar"/>
              </w:rPr>
              <w:t>Rekomendasi Fraksi Partai Demokrat :</w:t>
            </w:r>
          </w:p>
        </w:tc>
        <w:tc>
          <w:tcPr>
            <w:tcW w:w="14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2160" w:hRule="atLeast"/>
        </w:trPr>
        <w:tc>
          <w:tcPr>
            <w:tcW w:w="39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3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ULP harus memperhatikan pemenang lelang bukan hanya  mematok terhadap harga terendah namun juga harus memperhatikan bestek dll.</w:t>
            </w:r>
          </w:p>
        </w:tc>
        <w:tc>
          <w:tcPr>
            <w:tcW w:w="14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Biro Administrasi Pengadaan dan Pengelolaan BMD</w:t>
            </w: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Telah dilaksanakan</w:t>
            </w: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Pokja pemilihan dalam penetapan pemenang tidak hanya memperhatikan harga terendah tetapi penetepan pemenang tersebut sudah melalui proses evaluasi, administrasi, kualifikasi, teknis dan harga, sehingga penyedia dengan penawaran terendah tidak mutlak ditunjuk jadi pemenang tender</w:t>
            </w: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330" w:hRule="atLeast"/>
        </w:trPr>
        <w:tc>
          <w:tcPr>
            <w:tcW w:w="390"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3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b/>
                <w:i w:val="0"/>
                <w:color w:val="000000"/>
                <w:sz w:val="20"/>
                <w:szCs w:val="20"/>
                <w:u w:val="none"/>
              </w:rPr>
            </w:pPr>
            <w:r>
              <w:rPr>
                <w:rFonts w:hint="default" w:ascii="Arial Narrow" w:hAnsi="Arial Narrow" w:eastAsia="Arial Narrow" w:cs="Arial Narrow"/>
                <w:b/>
                <w:i w:val="0"/>
                <w:color w:val="000000"/>
                <w:kern w:val="0"/>
                <w:sz w:val="20"/>
                <w:szCs w:val="20"/>
                <w:u w:val="none"/>
                <w:lang w:val="en-US" w:eastAsia="zh-CN" w:bidi="ar"/>
              </w:rPr>
              <w:t>Rekomendasi Fraksi Partai Gerindra :</w:t>
            </w:r>
          </w:p>
        </w:tc>
        <w:tc>
          <w:tcPr>
            <w:tcW w:w="14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960" w:hRule="atLeast"/>
        </w:trPr>
        <w:tc>
          <w:tcPr>
            <w:tcW w:w="39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340"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Terhadap Pengelolaan Aset dengan telah disahkannya Perda Tentang Pengelolaan Barang Milik Daerah diminta Pemprov benar-benar serius melakukan langkah-langkah revitalisasi pengelolaan aset daerah. Banyak permasalahan yang masih terjadi pada aset daerah, seperti Padang Industrial Park (PIP), GOR. H. Agus Salim, Padang dan tanah bekas peternakan sapi di Air Rundiang, Pasaman Barat</w:t>
            </w:r>
          </w:p>
        </w:tc>
        <w:tc>
          <w:tcPr>
            <w:tcW w:w="1455"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Biro Administrasi Pengadaan dan Pengelolaan BMD</w:t>
            </w:r>
          </w:p>
        </w:tc>
        <w:tc>
          <w:tcPr>
            <w:tcW w:w="1995"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left"/>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2020</w:t>
            </w: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 xml:space="preserve">Pengelolaan aset PIP adalah merupakan aset kekayaan daerah yang dipisahkan. </w:t>
            </w:r>
          </w:p>
        </w:tc>
        <w:tc>
          <w:tcPr>
            <w:tcW w:w="886" w:type="dxa"/>
            <w:vMerge w:val="restart"/>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5208" w:hRule="atLeast"/>
        </w:trPr>
        <w:tc>
          <w:tcPr>
            <w:tcW w:w="39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340"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1455"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1995"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 xml:space="preserve">Terkait Pengelolaan aset tanah GOR H. Agus Salim: 1. Pada saat ini proses tukar guling tanah GOR. H. Agus Salim antara Pemprov Sumbar dengan BNI dalam tahap penilaian tanah milik Pemprov.Sumbar yang berada di Aie Pacah By Pass oleh Tim Penilai BNI. 2. Penilaian ini dilakukan untuk mengetahui nilai tanah yang akan kita berikan ke BNI untuk mendapatkan informasi apakah nilai tersebut sudah setara dengan tanah GOR H. Agus Salim ataupun lebih tinggi, mengingat posisi tanah di Aie Pacah berada pada zona hijau dan diperkirakan memiliki  nilai lebih tinggi. 3. Pemprov. Sumbar menunggu hasil penilaian oleh BNI. 4. Jika nilainya lebih tinggi, maka akan dilaksanakan proses saling hibah antara Pemprov. Sumbar dengan BNI. </w:t>
            </w:r>
          </w:p>
        </w:tc>
        <w:tc>
          <w:tcPr>
            <w:tcW w:w="886"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4000" w:hRule="atLeast"/>
        </w:trPr>
        <w:tc>
          <w:tcPr>
            <w:tcW w:w="390"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340"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1455" w:type="dxa"/>
            <w:vMerge w:val="continue"/>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1995"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Terkait SPT Air Runding : 1. Sesuai kesepakatan bersama dalam rapat tanggal 21 Februari 2019, akan dirapatkan kembali di Kabupaten Pasaman Barat pada Bulan Juni dengan melibatkan instansi terkait, dan masyarakat yang dikoordinir oleh Pemkab Pasaman Barat, dan akan dilakukan pengukuran ulang oleh BPN. 2. Pemprov sudah menyurati Pemkab Pasaman Barat untuk dapat memfasilitasi rapat sesuai surat No.030/274/BAP2BMD-III/III/2019 tanggal 20 Maret 2019. 3. Pemprov saat ini masih menunggu undangan rapat dari Pemkab. Pasaman Barat.</w:t>
            </w:r>
          </w:p>
        </w:tc>
        <w:tc>
          <w:tcPr>
            <w:tcW w:w="886" w:type="dxa"/>
            <w:vMerge w:val="continue"/>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1500" w:hRule="atLeast"/>
        </w:trPr>
        <w:tc>
          <w:tcPr>
            <w:tcW w:w="39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3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 xml:space="preserve">Pendataan aset daerah sehubungan dengan adanya peralihan kewenangan urusan pemerintah bidang pendidikan, dengan beralihnya pengelolaan SMA dan SMK ke Pemerintah Provinsi </w:t>
            </w:r>
          </w:p>
        </w:tc>
        <w:tc>
          <w:tcPr>
            <w:tcW w:w="14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Biro Administrasi Pengadaan dan Pengelolaan BMD</w:t>
            </w: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2020 (anggaran tersedia)</w:t>
            </w: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Melakukan inventarisasi terhadap SMA/SMK sesuai rekomendasi BPK TA 2018</w:t>
            </w: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320" w:hRule="atLeast"/>
        </w:trPr>
        <w:tc>
          <w:tcPr>
            <w:tcW w:w="39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3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b/>
                <w:i w:val="0"/>
                <w:color w:val="000000"/>
                <w:sz w:val="20"/>
                <w:szCs w:val="20"/>
                <w:u w:val="none"/>
              </w:rPr>
            </w:pPr>
            <w:r>
              <w:rPr>
                <w:rFonts w:hint="default" w:ascii="Arial Narrow" w:hAnsi="Arial Narrow" w:eastAsia="Arial Narrow" w:cs="Arial Narrow"/>
                <w:b/>
                <w:i w:val="0"/>
                <w:color w:val="000000"/>
                <w:kern w:val="0"/>
                <w:sz w:val="20"/>
                <w:szCs w:val="20"/>
                <w:u w:val="none"/>
                <w:lang w:val="en-US" w:eastAsia="zh-CN" w:bidi="ar"/>
              </w:rPr>
              <w:t>Rekomendasi Fraksi Partai Keadilan Sejahtera :</w:t>
            </w:r>
          </w:p>
        </w:tc>
        <w:tc>
          <w:tcPr>
            <w:tcW w:w="14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r>
      <w:tr>
        <w:tblPrEx>
          <w:shd w:val="clear" w:color="auto" w:fill="auto"/>
          <w:tblCellMar>
            <w:top w:w="0" w:type="dxa"/>
            <w:left w:w="0" w:type="dxa"/>
            <w:bottom w:w="0" w:type="dxa"/>
            <w:right w:w="0" w:type="dxa"/>
          </w:tblCellMar>
        </w:tblPrEx>
        <w:trPr>
          <w:trHeight w:val="5205" w:hRule="atLeast"/>
        </w:trPr>
        <w:tc>
          <w:tcPr>
            <w:tcW w:w="390"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center"/>
              <w:rPr>
                <w:rFonts w:hint="default" w:ascii="Arial Narrow" w:hAnsi="Arial Narrow" w:eastAsia="Arial Narrow" w:cs="Arial Narrow"/>
                <w:i w:val="0"/>
                <w:color w:val="000000"/>
                <w:sz w:val="20"/>
                <w:szCs w:val="20"/>
                <w:u w:val="none"/>
              </w:rPr>
            </w:pPr>
          </w:p>
        </w:tc>
        <w:tc>
          <w:tcPr>
            <w:tcW w:w="2340"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Agar Gubernur melakukan evaluasi terhadap SDM yang mengelola ULP sehingga kegiatan tender dapat dilaksanakan tepat waktu</w:t>
            </w:r>
          </w:p>
        </w:tc>
        <w:tc>
          <w:tcPr>
            <w:tcW w:w="145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Biro Administrasi Pengadaan dan Pengelolaan BMD</w:t>
            </w:r>
          </w:p>
        </w:tc>
        <w:tc>
          <w:tcPr>
            <w:tcW w:w="1995"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Telah dilaksanakan 2017</w:t>
            </w:r>
          </w:p>
        </w:tc>
        <w:tc>
          <w:tcPr>
            <w:tcW w:w="2743"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keepNext w:val="0"/>
              <w:keepLines w:val="0"/>
              <w:widowControl/>
              <w:suppressLineNumbers w:val="0"/>
              <w:jc w:val="both"/>
              <w:textAlignment w:val="top"/>
              <w:rPr>
                <w:rFonts w:hint="default" w:ascii="Arial Narrow" w:hAnsi="Arial Narrow" w:eastAsia="Arial Narrow" w:cs="Arial Narrow"/>
                <w:i w:val="0"/>
                <w:color w:val="000000"/>
                <w:sz w:val="20"/>
                <w:szCs w:val="20"/>
                <w:u w:val="none"/>
              </w:rPr>
            </w:pPr>
            <w:r>
              <w:rPr>
                <w:rFonts w:hint="default" w:ascii="Arial Narrow" w:hAnsi="Arial Narrow" w:eastAsia="Arial Narrow" w:cs="Arial Narrow"/>
                <w:i w:val="0"/>
                <w:color w:val="000000"/>
                <w:kern w:val="0"/>
                <w:sz w:val="20"/>
                <w:szCs w:val="20"/>
                <w:u w:val="none"/>
                <w:lang w:val="en-US" w:eastAsia="zh-CN" w:bidi="ar"/>
              </w:rPr>
              <w:t>Penyebab pelaksanaan tender tidak tepat waktu disebabkan oleh :           1. Terbatasnya jumlah personil di Pokja sudah disikapi dengan menyurati semua OPD tentang permintaan personil yang berminat/memenuhi persyaratan sebagai pokja pemilihan, dikarenakan kebutuhan tenaga pada OPD sehingga permintaan tersebut tidak dapat dipenuhi.                                          2. Adanya keterlambatan penyampaian paket-paket pengadaan oleh OPD pada ULP.                                        3. Keterlambatan dalam pengambilan hasil perbaikan yang telah disepakati dalam persiapan pengadaan.             4. Keterbatasan dana untuk peningkatan SDM (seperti diklat dan bimtek) serta dana pendukung kegiatan tender (dana klarifikasi dan rapat-rapat )</w:t>
            </w:r>
          </w:p>
        </w:tc>
        <w:tc>
          <w:tcPr>
            <w:tcW w:w="886" w:type="dxa"/>
            <w:tcBorders>
              <w:top w:val="single" w:color="000000" w:sz="8" w:space="0"/>
              <w:left w:val="single" w:color="000000" w:sz="8" w:space="0"/>
              <w:bottom w:val="single" w:color="000000" w:sz="8" w:space="0"/>
              <w:right w:val="single" w:color="000000" w:sz="8" w:space="0"/>
            </w:tcBorders>
            <w:shd w:val="clear" w:color="auto" w:fill="auto"/>
            <w:noWrap/>
            <w:tcMar>
              <w:top w:w="15" w:type="dxa"/>
              <w:left w:w="15" w:type="dxa"/>
              <w:right w:w="15" w:type="dxa"/>
            </w:tcMar>
            <w:vAlign w:val="top"/>
          </w:tcPr>
          <w:p>
            <w:pPr>
              <w:jc w:val="both"/>
              <w:rPr>
                <w:rFonts w:hint="default" w:ascii="Arial Narrow" w:hAnsi="Arial Narrow" w:eastAsia="Arial Narrow" w:cs="Arial Narrow"/>
                <w:i w:val="0"/>
                <w:color w:val="000000"/>
                <w:sz w:val="20"/>
                <w:szCs w:val="20"/>
                <w:u w:val="none"/>
              </w:rPr>
            </w:pPr>
          </w:p>
        </w:tc>
      </w:tr>
    </w:tbl>
    <w:p>
      <w:pPr>
        <w:spacing w:before="60" w:after="60"/>
        <w:ind w:left="0" w:leftChars="0" w:right="-2" w:firstLine="0" w:firstLineChars="0"/>
        <w:jc w:val="both"/>
        <w:rPr>
          <w:rFonts w:ascii="Arial" w:hAnsi="Arial" w:cs="Arial"/>
          <w:highlight w:val="yellow"/>
        </w:rPr>
      </w:pPr>
    </w:p>
    <w:p>
      <w:pPr>
        <w:spacing w:before="60" w:after="60" w:line="240" w:lineRule="auto"/>
        <w:ind w:left="5760" w:leftChars="0" w:right="-2" w:hanging="7" w:firstLineChars="0"/>
        <w:jc w:val="center"/>
        <w:rPr>
          <w:rFonts w:hint="default" w:ascii="Arial" w:hAnsi="Arial" w:cs="Arial"/>
          <w:highlight w:val="none"/>
          <w:lang w:val="zh-CN"/>
        </w:rPr>
      </w:pPr>
      <w:r>
        <w:rPr>
          <w:rFonts w:hint="default" w:ascii="Arial" w:hAnsi="Arial" w:cs="Arial"/>
          <w:highlight w:val="none"/>
          <w:lang w:val="zh-CN"/>
        </w:rPr>
        <w:t>Kepala Biro Administrasi Pengadaan dan Pengelolaan BMD</w:t>
      </w:r>
    </w:p>
    <w:p>
      <w:pPr>
        <w:spacing w:before="60" w:after="60" w:line="240" w:lineRule="auto"/>
        <w:ind w:left="5760" w:leftChars="0" w:right="-2" w:hanging="7" w:firstLineChars="0"/>
        <w:jc w:val="center"/>
        <w:rPr>
          <w:rFonts w:hint="default" w:ascii="Arial" w:hAnsi="Arial" w:cs="Arial"/>
          <w:highlight w:val="none"/>
          <w:lang w:val="zh-CN"/>
        </w:rPr>
      </w:pPr>
    </w:p>
    <w:p>
      <w:pPr>
        <w:spacing w:before="60" w:after="60" w:line="240" w:lineRule="auto"/>
        <w:ind w:left="5760" w:leftChars="0" w:right="-2" w:hanging="7" w:firstLineChars="0"/>
        <w:jc w:val="center"/>
        <w:rPr>
          <w:rFonts w:hint="default" w:ascii="Arial" w:hAnsi="Arial" w:cs="Arial"/>
          <w:highlight w:val="none"/>
          <w:lang w:val="zh-CN"/>
        </w:rPr>
      </w:pPr>
    </w:p>
    <w:p>
      <w:pPr>
        <w:spacing w:before="60" w:after="60" w:line="240" w:lineRule="auto"/>
        <w:ind w:left="5760" w:leftChars="0" w:right="-2" w:hanging="7" w:firstLineChars="0"/>
        <w:jc w:val="center"/>
        <w:rPr>
          <w:rFonts w:hint="default" w:ascii="Arial" w:hAnsi="Arial" w:cs="Arial"/>
          <w:highlight w:val="none"/>
          <w:lang w:val="zh-CN"/>
        </w:rPr>
      </w:pPr>
      <w:r>
        <w:rPr>
          <w:rFonts w:hint="default" w:ascii="Arial" w:hAnsi="Arial" w:cs="Arial"/>
          <w:highlight w:val="none"/>
          <w:lang w:val="zh-CN"/>
        </w:rPr>
        <w:t>Ir. Syafrizal</w:t>
      </w:r>
    </w:p>
    <w:p>
      <w:pPr>
        <w:spacing w:before="60" w:after="60" w:line="240" w:lineRule="auto"/>
        <w:ind w:left="5760" w:leftChars="0" w:right="-2" w:hanging="7" w:firstLineChars="0"/>
        <w:jc w:val="center"/>
        <w:rPr>
          <w:rFonts w:hint="default" w:ascii="Arial" w:hAnsi="Arial" w:cs="Arial"/>
          <w:highlight w:val="none"/>
          <w:lang w:val="zh-CN"/>
        </w:rPr>
      </w:pPr>
      <w:r>
        <w:rPr>
          <w:rFonts w:hint="default" w:ascii="Arial" w:hAnsi="Arial" w:cs="Arial"/>
          <w:highlight w:val="none"/>
          <w:lang w:val="zh-CN"/>
        </w:rPr>
        <w:t>Nip. 19640525 199602 1 001</w:t>
      </w:r>
    </w:p>
    <w:p>
      <w:pPr>
        <w:spacing w:before="60" w:after="60" w:line="240" w:lineRule="auto"/>
        <w:ind w:left="5760" w:leftChars="0" w:right="-2" w:hanging="7" w:firstLineChars="0"/>
        <w:jc w:val="both"/>
        <w:rPr>
          <w:rFonts w:hint="default" w:ascii="Arial" w:hAnsi="Arial" w:cs="Arial"/>
          <w:highlight w:val="yellow"/>
          <w:lang w:val="zh-CN"/>
        </w:rPr>
      </w:pPr>
    </w:p>
    <w:sectPr>
      <w:pgSz w:w="12240" w:h="18720"/>
      <w:pgMar w:top="1047" w:right="1043" w:bottom="1871" w:left="1418" w:header="720" w:footer="720"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Symbol">
    <w:panose1 w:val="05050102010706020507"/>
    <w:charset w:val="02"/>
    <w:family w:val="roman"/>
    <w:pitch w:val="default"/>
    <w:sig w:usb0="00000000" w:usb1="00000000" w:usb2="00000000" w:usb3="00000000" w:csb0="80000000" w:csb1="00000000"/>
  </w:font>
  <w:font w:name="Century Gothic">
    <w:panose1 w:val="020B0502020202020204"/>
    <w:charset w:val="00"/>
    <w:family w:val="auto"/>
    <w:pitch w:val="default"/>
    <w:sig w:usb0="00000287" w:usb1="00000000" w:usb2="00000000" w:usb3="00000000" w:csb0="2000009F" w:csb1="DFD70000"/>
  </w:font>
  <w:font w:name="Arial Unicode MS">
    <w:altName w:val="Arial"/>
    <w:panose1 w:val="020B0604020202020204"/>
    <w:charset w:val="80"/>
    <w:family w:val="swiss"/>
    <w:pitch w:val="default"/>
    <w:sig w:usb0="00000000" w:usb1="00000000" w:usb2="0000003F" w:usb3="00000000" w:csb0="003F01FF" w:csb1="00000000"/>
  </w:font>
  <w:font w:name="Arial Narrow">
    <w:panose1 w:val="020B0606020202030204"/>
    <w:charset w:val="00"/>
    <w:family w:val="auto"/>
    <w:pitch w:val="default"/>
    <w:sig w:usb0="00000287" w:usb1="00000800" w:usb2="00000000" w:usb3="00000000" w:csb0="2000009F" w:csb1="DFD7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9D7A19"/>
    <w:multiLevelType w:val="multilevel"/>
    <w:tmpl w:val="2A9D7A19"/>
    <w:lvl w:ilvl="0" w:tentative="0">
      <w:start w:val="1"/>
      <w:numFmt w:val="decimal"/>
      <w:lvlText w:val="%1)"/>
      <w:lvlJc w:val="left"/>
      <w:pPr>
        <w:ind w:left="1996" w:hanging="360"/>
      </w:pPr>
      <w:rPr>
        <w:rFonts w:hint="default" w:cs="Times New Roman"/>
        <w:color w:val="auto"/>
      </w:rPr>
    </w:lvl>
    <w:lvl w:ilvl="1" w:tentative="0">
      <w:start w:val="1"/>
      <w:numFmt w:val="lowerLetter"/>
      <w:lvlText w:val="%2."/>
      <w:lvlJc w:val="left"/>
      <w:pPr>
        <w:ind w:left="2716" w:hanging="360"/>
      </w:pPr>
      <w:rPr>
        <w:rFonts w:cs="Times New Roman"/>
      </w:rPr>
    </w:lvl>
    <w:lvl w:ilvl="2" w:tentative="0">
      <w:start w:val="1"/>
      <w:numFmt w:val="lowerRoman"/>
      <w:lvlText w:val="%3."/>
      <w:lvlJc w:val="right"/>
      <w:pPr>
        <w:ind w:left="3436" w:hanging="180"/>
      </w:pPr>
      <w:rPr>
        <w:rFonts w:cs="Times New Roman"/>
      </w:rPr>
    </w:lvl>
    <w:lvl w:ilvl="3" w:tentative="0">
      <w:start w:val="1"/>
      <w:numFmt w:val="decimal"/>
      <w:lvlText w:val="%4."/>
      <w:lvlJc w:val="left"/>
      <w:pPr>
        <w:ind w:left="4156" w:hanging="360"/>
      </w:pPr>
      <w:rPr>
        <w:rFonts w:cs="Times New Roman"/>
      </w:rPr>
    </w:lvl>
    <w:lvl w:ilvl="4" w:tentative="0">
      <w:start w:val="1"/>
      <w:numFmt w:val="lowerLetter"/>
      <w:lvlText w:val="%5."/>
      <w:lvlJc w:val="left"/>
      <w:pPr>
        <w:ind w:left="4876" w:hanging="360"/>
      </w:pPr>
      <w:rPr>
        <w:rFonts w:cs="Times New Roman"/>
      </w:rPr>
    </w:lvl>
    <w:lvl w:ilvl="5" w:tentative="0">
      <w:start w:val="1"/>
      <w:numFmt w:val="lowerRoman"/>
      <w:lvlText w:val="%6."/>
      <w:lvlJc w:val="right"/>
      <w:pPr>
        <w:ind w:left="5596" w:hanging="180"/>
      </w:pPr>
      <w:rPr>
        <w:rFonts w:cs="Times New Roman"/>
      </w:rPr>
    </w:lvl>
    <w:lvl w:ilvl="6" w:tentative="0">
      <w:start w:val="1"/>
      <w:numFmt w:val="decimal"/>
      <w:lvlText w:val="%7."/>
      <w:lvlJc w:val="left"/>
      <w:pPr>
        <w:ind w:left="6316" w:hanging="360"/>
      </w:pPr>
      <w:rPr>
        <w:rFonts w:cs="Times New Roman"/>
      </w:rPr>
    </w:lvl>
    <w:lvl w:ilvl="7" w:tentative="0">
      <w:start w:val="1"/>
      <w:numFmt w:val="lowerLetter"/>
      <w:lvlText w:val="%8."/>
      <w:lvlJc w:val="left"/>
      <w:pPr>
        <w:ind w:left="7036" w:hanging="360"/>
      </w:pPr>
      <w:rPr>
        <w:rFonts w:cs="Times New Roman"/>
      </w:rPr>
    </w:lvl>
    <w:lvl w:ilvl="8" w:tentative="0">
      <w:start w:val="1"/>
      <w:numFmt w:val="lowerRoman"/>
      <w:lvlText w:val="%9."/>
      <w:lvlJc w:val="right"/>
      <w:pPr>
        <w:ind w:left="7756" w:hanging="180"/>
      </w:pPr>
      <w:rPr>
        <w:rFonts w:cs="Times New Roman"/>
      </w:rPr>
    </w:lvl>
  </w:abstractNum>
  <w:abstractNum w:abstractNumId="1">
    <w:nsid w:val="373064B3"/>
    <w:multiLevelType w:val="multilevel"/>
    <w:tmpl w:val="373064B3"/>
    <w:lvl w:ilvl="0" w:tentative="0">
      <w:start w:val="1"/>
      <w:numFmt w:val="decimal"/>
      <w:lvlText w:val="%1)"/>
      <w:lvlJc w:val="left"/>
      <w:pPr>
        <w:ind w:left="720" w:hanging="360"/>
      </w:pPr>
      <w:rPr>
        <w:rFonts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
    <w:nsid w:val="53EA019A"/>
    <w:multiLevelType w:val="multilevel"/>
    <w:tmpl w:val="53EA019A"/>
    <w:lvl w:ilvl="0" w:tentative="0">
      <w:start w:val="1"/>
      <w:numFmt w:val="decimal"/>
      <w:lvlText w:val="%1)"/>
      <w:lvlJc w:val="left"/>
      <w:pPr>
        <w:ind w:left="2061" w:hanging="360"/>
      </w:pPr>
      <w:rPr>
        <w:rFonts w:hint="default" w:ascii="Arial" w:hAnsi="Arial" w:cs="Times New Roman"/>
        <w:color w:val="auto"/>
        <w:sz w:val="24"/>
      </w:rPr>
    </w:lvl>
    <w:lvl w:ilvl="1" w:tentative="0">
      <w:start w:val="1"/>
      <w:numFmt w:val="bullet"/>
      <w:lvlText w:val="-"/>
      <w:lvlJc w:val="left"/>
      <w:pPr>
        <w:ind w:left="2781" w:hanging="360"/>
      </w:pPr>
      <w:rPr>
        <w:rFonts w:hint="default" w:ascii="Arial" w:hAnsi="Arial" w:eastAsia="Times New Roman"/>
        <w:b/>
        <w:color w:val="auto"/>
      </w:rPr>
    </w:lvl>
    <w:lvl w:ilvl="2" w:tentative="0">
      <w:start w:val="1"/>
      <w:numFmt w:val="lowerRoman"/>
      <w:lvlText w:val="%3."/>
      <w:lvlJc w:val="right"/>
      <w:pPr>
        <w:ind w:left="3501" w:hanging="180"/>
      </w:pPr>
      <w:rPr>
        <w:rFonts w:cs="Times New Roman"/>
      </w:rPr>
    </w:lvl>
    <w:lvl w:ilvl="3" w:tentative="0">
      <w:start w:val="1"/>
      <w:numFmt w:val="decimal"/>
      <w:lvlText w:val="%4."/>
      <w:lvlJc w:val="left"/>
      <w:pPr>
        <w:ind w:left="4221" w:hanging="360"/>
      </w:pPr>
      <w:rPr>
        <w:rFonts w:cs="Times New Roman"/>
      </w:rPr>
    </w:lvl>
    <w:lvl w:ilvl="4" w:tentative="0">
      <w:start w:val="1"/>
      <w:numFmt w:val="lowerLetter"/>
      <w:lvlText w:val="%5."/>
      <w:lvlJc w:val="left"/>
      <w:pPr>
        <w:ind w:left="4941" w:hanging="360"/>
      </w:pPr>
      <w:rPr>
        <w:rFonts w:cs="Times New Roman"/>
      </w:rPr>
    </w:lvl>
    <w:lvl w:ilvl="5" w:tentative="0">
      <w:start w:val="1"/>
      <w:numFmt w:val="lowerRoman"/>
      <w:lvlText w:val="%6."/>
      <w:lvlJc w:val="right"/>
      <w:pPr>
        <w:ind w:left="5661" w:hanging="180"/>
      </w:pPr>
      <w:rPr>
        <w:rFonts w:cs="Times New Roman"/>
      </w:rPr>
    </w:lvl>
    <w:lvl w:ilvl="6" w:tentative="0">
      <w:start w:val="1"/>
      <w:numFmt w:val="decimal"/>
      <w:lvlText w:val="%7."/>
      <w:lvlJc w:val="left"/>
      <w:pPr>
        <w:ind w:left="6381" w:hanging="360"/>
      </w:pPr>
      <w:rPr>
        <w:rFonts w:cs="Times New Roman"/>
      </w:rPr>
    </w:lvl>
    <w:lvl w:ilvl="7" w:tentative="0">
      <w:start w:val="1"/>
      <w:numFmt w:val="lowerLetter"/>
      <w:lvlText w:val="%8."/>
      <w:lvlJc w:val="left"/>
      <w:pPr>
        <w:ind w:left="7101" w:hanging="360"/>
      </w:pPr>
      <w:rPr>
        <w:rFonts w:cs="Times New Roman"/>
      </w:rPr>
    </w:lvl>
    <w:lvl w:ilvl="8" w:tentative="0">
      <w:start w:val="1"/>
      <w:numFmt w:val="lowerRoman"/>
      <w:lvlText w:val="%9."/>
      <w:lvlJc w:val="right"/>
      <w:pPr>
        <w:ind w:left="7821" w:hanging="180"/>
      </w:pPr>
      <w:rPr>
        <w:rFonts w:cs="Times New Roman"/>
      </w:rPr>
    </w:lvl>
  </w:abstractNum>
  <w:abstractNum w:abstractNumId="3">
    <w:nsid w:val="778F0111"/>
    <w:multiLevelType w:val="multilevel"/>
    <w:tmpl w:val="778F0111"/>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79FA343A"/>
    <w:multiLevelType w:val="multilevel"/>
    <w:tmpl w:val="79FA343A"/>
    <w:lvl w:ilvl="0" w:tentative="0">
      <w:start w:val="1"/>
      <w:numFmt w:val="bullet"/>
      <w:lvlText w:val="-"/>
      <w:lvlJc w:val="left"/>
      <w:pPr>
        <w:ind w:left="1854" w:hanging="360"/>
      </w:pPr>
      <w:rPr>
        <w:rFonts w:hint="default" w:ascii="Arial" w:hAnsi="Arial" w:eastAsia="Times New Roman"/>
        <w:color w:val="auto"/>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rawingGridHorizontalSpacing w:val="1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B37"/>
    <w:rsid w:val="000046D3"/>
    <w:rsid w:val="000054D5"/>
    <w:rsid w:val="00006E08"/>
    <w:rsid w:val="0000752C"/>
    <w:rsid w:val="0001149D"/>
    <w:rsid w:val="000117D7"/>
    <w:rsid w:val="00013E67"/>
    <w:rsid w:val="00014A7B"/>
    <w:rsid w:val="00014B34"/>
    <w:rsid w:val="000150CD"/>
    <w:rsid w:val="000156F7"/>
    <w:rsid w:val="00020561"/>
    <w:rsid w:val="0002459C"/>
    <w:rsid w:val="00024773"/>
    <w:rsid w:val="000249EE"/>
    <w:rsid w:val="00024DF5"/>
    <w:rsid w:val="00025686"/>
    <w:rsid w:val="000267C9"/>
    <w:rsid w:val="00026D91"/>
    <w:rsid w:val="000276D6"/>
    <w:rsid w:val="00030915"/>
    <w:rsid w:val="00031122"/>
    <w:rsid w:val="00031A43"/>
    <w:rsid w:val="0004303C"/>
    <w:rsid w:val="00052300"/>
    <w:rsid w:val="00052ACA"/>
    <w:rsid w:val="00052E4A"/>
    <w:rsid w:val="000547B1"/>
    <w:rsid w:val="000609A7"/>
    <w:rsid w:val="00061B7F"/>
    <w:rsid w:val="00065182"/>
    <w:rsid w:val="000672C8"/>
    <w:rsid w:val="0007036E"/>
    <w:rsid w:val="00070EBC"/>
    <w:rsid w:val="00072684"/>
    <w:rsid w:val="000738D6"/>
    <w:rsid w:val="00074E10"/>
    <w:rsid w:val="0007640B"/>
    <w:rsid w:val="00076B44"/>
    <w:rsid w:val="00080EB9"/>
    <w:rsid w:val="00081318"/>
    <w:rsid w:val="00081CCF"/>
    <w:rsid w:val="00081DD8"/>
    <w:rsid w:val="000850E0"/>
    <w:rsid w:val="00087B55"/>
    <w:rsid w:val="00090B74"/>
    <w:rsid w:val="00091165"/>
    <w:rsid w:val="00092FBA"/>
    <w:rsid w:val="00095279"/>
    <w:rsid w:val="00097F58"/>
    <w:rsid w:val="000A044C"/>
    <w:rsid w:val="000A4085"/>
    <w:rsid w:val="000A5257"/>
    <w:rsid w:val="000A6156"/>
    <w:rsid w:val="000B154B"/>
    <w:rsid w:val="000B1571"/>
    <w:rsid w:val="000B2D2A"/>
    <w:rsid w:val="000B57F3"/>
    <w:rsid w:val="000B60B6"/>
    <w:rsid w:val="000C09CA"/>
    <w:rsid w:val="000C2D07"/>
    <w:rsid w:val="000D0883"/>
    <w:rsid w:val="000D3157"/>
    <w:rsid w:val="000E71AE"/>
    <w:rsid w:val="000E7776"/>
    <w:rsid w:val="000F0B11"/>
    <w:rsid w:val="000F449D"/>
    <w:rsid w:val="000F59B9"/>
    <w:rsid w:val="000F6E17"/>
    <w:rsid w:val="000F7253"/>
    <w:rsid w:val="00100EFF"/>
    <w:rsid w:val="00102534"/>
    <w:rsid w:val="00105CC1"/>
    <w:rsid w:val="00106932"/>
    <w:rsid w:val="00110DD5"/>
    <w:rsid w:val="00111144"/>
    <w:rsid w:val="001130A6"/>
    <w:rsid w:val="00125431"/>
    <w:rsid w:val="00125F23"/>
    <w:rsid w:val="00127400"/>
    <w:rsid w:val="00127EAC"/>
    <w:rsid w:val="00131C95"/>
    <w:rsid w:val="0013205D"/>
    <w:rsid w:val="001340AB"/>
    <w:rsid w:val="00135C57"/>
    <w:rsid w:val="00136114"/>
    <w:rsid w:val="00137816"/>
    <w:rsid w:val="00140018"/>
    <w:rsid w:val="00140250"/>
    <w:rsid w:val="00140FF9"/>
    <w:rsid w:val="00146735"/>
    <w:rsid w:val="001479CE"/>
    <w:rsid w:val="0015130E"/>
    <w:rsid w:val="00151DFF"/>
    <w:rsid w:val="00152B30"/>
    <w:rsid w:val="001536DA"/>
    <w:rsid w:val="00156430"/>
    <w:rsid w:val="00156937"/>
    <w:rsid w:val="0016099F"/>
    <w:rsid w:val="00162F02"/>
    <w:rsid w:val="00165D1F"/>
    <w:rsid w:val="001704A5"/>
    <w:rsid w:val="00171555"/>
    <w:rsid w:val="001732B3"/>
    <w:rsid w:val="001732E9"/>
    <w:rsid w:val="001759AD"/>
    <w:rsid w:val="00181976"/>
    <w:rsid w:val="00184100"/>
    <w:rsid w:val="0018419E"/>
    <w:rsid w:val="00184551"/>
    <w:rsid w:val="001845A5"/>
    <w:rsid w:val="00184818"/>
    <w:rsid w:val="00186F67"/>
    <w:rsid w:val="00190978"/>
    <w:rsid w:val="001942B3"/>
    <w:rsid w:val="00194B9F"/>
    <w:rsid w:val="00194DC1"/>
    <w:rsid w:val="001961F4"/>
    <w:rsid w:val="001A07E3"/>
    <w:rsid w:val="001A3550"/>
    <w:rsid w:val="001A3731"/>
    <w:rsid w:val="001A5871"/>
    <w:rsid w:val="001A7B37"/>
    <w:rsid w:val="001B213C"/>
    <w:rsid w:val="001B7807"/>
    <w:rsid w:val="001C082F"/>
    <w:rsid w:val="001C5E96"/>
    <w:rsid w:val="001C7679"/>
    <w:rsid w:val="001C7C0A"/>
    <w:rsid w:val="001D0350"/>
    <w:rsid w:val="001D06DE"/>
    <w:rsid w:val="001D0FF5"/>
    <w:rsid w:val="001D10C5"/>
    <w:rsid w:val="001D3716"/>
    <w:rsid w:val="001D45B1"/>
    <w:rsid w:val="001D499C"/>
    <w:rsid w:val="001E14EC"/>
    <w:rsid w:val="001E6C4E"/>
    <w:rsid w:val="001E6C95"/>
    <w:rsid w:val="001E6DAE"/>
    <w:rsid w:val="001F45B6"/>
    <w:rsid w:val="001F7C71"/>
    <w:rsid w:val="00200749"/>
    <w:rsid w:val="00200A48"/>
    <w:rsid w:val="002027ED"/>
    <w:rsid w:val="00203C70"/>
    <w:rsid w:val="002040DD"/>
    <w:rsid w:val="00204801"/>
    <w:rsid w:val="00204BCA"/>
    <w:rsid w:val="00206234"/>
    <w:rsid w:val="00210C39"/>
    <w:rsid w:val="0021370B"/>
    <w:rsid w:val="00214088"/>
    <w:rsid w:val="00215B46"/>
    <w:rsid w:val="0022192F"/>
    <w:rsid w:val="00223B84"/>
    <w:rsid w:val="0022576D"/>
    <w:rsid w:val="002321E0"/>
    <w:rsid w:val="002335B4"/>
    <w:rsid w:val="0023592C"/>
    <w:rsid w:val="00245B94"/>
    <w:rsid w:val="002472FA"/>
    <w:rsid w:val="0024768D"/>
    <w:rsid w:val="00250682"/>
    <w:rsid w:val="00251759"/>
    <w:rsid w:val="00254439"/>
    <w:rsid w:val="002544AE"/>
    <w:rsid w:val="00254B2C"/>
    <w:rsid w:val="00256E9C"/>
    <w:rsid w:val="002604C9"/>
    <w:rsid w:val="00260FE0"/>
    <w:rsid w:val="002618B3"/>
    <w:rsid w:val="00262737"/>
    <w:rsid w:val="0026341D"/>
    <w:rsid w:val="0026640A"/>
    <w:rsid w:val="0027204B"/>
    <w:rsid w:val="00272DFD"/>
    <w:rsid w:val="00274DB4"/>
    <w:rsid w:val="00283445"/>
    <w:rsid w:val="002837D5"/>
    <w:rsid w:val="00285F88"/>
    <w:rsid w:val="002865EE"/>
    <w:rsid w:val="00286A78"/>
    <w:rsid w:val="00290352"/>
    <w:rsid w:val="00290469"/>
    <w:rsid w:val="00294B4E"/>
    <w:rsid w:val="00296B4B"/>
    <w:rsid w:val="002A0CB5"/>
    <w:rsid w:val="002A2D9A"/>
    <w:rsid w:val="002A2EE4"/>
    <w:rsid w:val="002A3983"/>
    <w:rsid w:val="002A3E95"/>
    <w:rsid w:val="002A420E"/>
    <w:rsid w:val="002A5FBC"/>
    <w:rsid w:val="002A7933"/>
    <w:rsid w:val="002B14A3"/>
    <w:rsid w:val="002B4728"/>
    <w:rsid w:val="002B65DC"/>
    <w:rsid w:val="002B7FF1"/>
    <w:rsid w:val="002C0026"/>
    <w:rsid w:val="002C0FBB"/>
    <w:rsid w:val="002C12A1"/>
    <w:rsid w:val="002C49B6"/>
    <w:rsid w:val="002C6DA8"/>
    <w:rsid w:val="002D4308"/>
    <w:rsid w:val="002D6A5D"/>
    <w:rsid w:val="002D73AB"/>
    <w:rsid w:val="002D75C3"/>
    <w:rsid w:val="002E27DF"/>
    <w:rsid w:val="002E564C"/>
    <w:rsid w:val="002E5937"/>
    <w:rsid w:val="002F128D"/>
    <w:rsid w:val="002F1EC2"/>
    <w:rsid w:val="002F515D"/>
    <w:rsid w:val="002F6D75"/>
    <w:rsid w:val="003001FB"/>
    <w:rsid w:val="00301817"/>
    <w:rsid w:val="00303887"/>
    <w:rsid w:val="00304DD9"/>
    <w:rsid w:val="00306595"/>
    <w:rsid w:val="00307303"/>
    <w:rsid w:val="003077E2"/>
    <w:rsid w:val="00310B06"/>
    <w:rsid w:val="00310E7D"/>
    <w:rsid w:val="0031504D"/>
    <w:rsid w:val="00317CBB"/>
    <w:rsid w:val="00320B12"/>
    <w:rsid w:val="00320B65"/>
    <w:rsid w:val="00324B07"/>
    <w:rsid w:val="0032673D"/>
    <w:rsid w:val="00330075"/>
    <w:rsid w:val="00330FDD"/>
    <w:rsid w:val="00333658"/>
    <w:rsid w:val="003361DE"/>
    <w:rsid w:val="003419C3"/>
    <w:rsid w:val="00342902"/>
    <w:rsid w:val="00343302"/>
    <w:rsid w:val="00347751"/>
    <w:rsid w:val="00351BED"/>
    <w:rsid w:val="00352081"/>
    <w:rsid w:val="0035208A"/>
    <w:rsid w:val="003555EF"/>
    <w:rsid w:val="00355BAF"/>
    <w:rsid w:val="003600D0"/>
    <w:rsid w:val="0036090F"/>
    <w:rsid w:val="003625A9"/>
    <w:rsid w:val="00362BB8"/>
    <w:rsid w:val="00364A2C"/>
    <w:rsid w:val="0036533E"/>
    <w:rsid w:val="00370BD9"/>
    <w:rsid w:val="00371F40"/>
    <w:rsid w:val="0037481A"/>
    <w:rsid w:val="003768B6"/>
    <w:rsid w:val="00381209"/>
    <w:rsid w:val="0038206A"/>
    <w:rsid w:val="003830F5"/>
    <w:rsid w:val="00395E11"/>
    <w:rsid w:val="003962F3"/>
    <w:rsid w:val="00397F2C"/>
    <w:rsid w:val="003A571B"/>
    <w:rsid w:val="003B3270"/>
    <w:rsid w:val="003B49B7"/>
    <w:rsid w:val="003B4EBD"/>
    <w:rsid w:val="003B5A80"/>
    <w:rsid w:val="003B709B"/>
    <w:rsid w:val="003C1D1A"/>
    <w:rsid w:val="003C3F2A"/>
    <w:rsid w:val="003C4FD5"/>
    <w:rsid w:val="003C716A"/>
    <w:rsid w:val="003D0320"/>
    <w:rsid w:val="003D0A99"/>
    <w:rsid w:val="003D1884"/>
    <w:rsid w:val="003D2715"/>
    <w:rsid w:val="003D2A14"/>
    <w:rsid w:val="003D328A"/>
    <w:rsid w:val="003D528C"/>
    <w:rsid w:val="003D546D"/>
    <w:rsid w:val="003D6F4F"/>
    <w:rsid w:val="003D7B73"/>
    <w:rsid w:val="003E2F89"/>
    <w:rsid w:val="003E4E68"/>
    <w:rsid w:val="003E5327"/>
    <w:rsid w:val="003F2169"/>
    <w:rsid w:val="003F703C"/>
    <w:rsid w:val="004004DC"/>
    <w:rsid w:val="00401B0B"/>
    <w:rsid w:val="0040307B"/>
    <w:rsid w:val="004048B4"/>
    <w:rsid w:val="00404962"/>
    <w:rsid w:val="0040596D"/>
    <w:rsid w:val="004059AE"/>
    <w:rsid w:val="004105D0"/>
    <w:rsid w:val="00413A60"/>
    <w:rsid w:val="00413BFE"/>
    <w:rsid w:val="0041720B"/>
    <w:rsid w:val="0041733E"/>
    <w:rsid w:val="00417840"/>
    <w:rsid w:val="00417EDC"/>
    <w:rsid w:val="00421B81"/>
    <w:rsid w:val="004220E3"/>
    <w:rsid w:val="0042284A"/>
    <w:rsid w:val="00423A89"/>
    <w:rsid w:val="00424346"/>
    <w:rsid w:val="004304C5"/>
    <w:rsid w:val="00430524"/>
    <w:rsid w:val="00430745"/>
    <w:rsid w:val="004308F6"/>
    <w:rsid w:val="0043403B"/>
    <w:rsid w:val="00434E1D"/>
    <w:rsid w:val="004355BA"/>
    <w:rsid w:val="00435BED"/>
    <w:rsid w:val="004368EE"/>
    <w:rsid w:val="00440EC1"/>
    <w:rsid w:val="0044186D"/>
    <w:rsid w:val="00441B8A"/>
    <w:rsid w:val="00443D69"/>
    <w:rsid w:val="00444236"/>
    <w:rsid w:val="00444873"/>
    <w:rsid w:val="004510D1"/>
    <w:rsid w:val="00453B41"/>
    <w:rsid w:val="00456866"/>
    <w:rsid w:val="00464129"/>
    <w:rsid w:val="00464B45"/>
    <w:rsid w:val="0046580A"/>
    <w:rsid w:val="00473BB5"/>
    <w:rsid w:val="00475903"/>
    <w:rsid w:val="004772C9"/>
    <w:rsid w:val="00481389"/>
    <w:rsid w:val="0048670B"/>
    <w:rsid w:val="00493BB3"/>
    <w:rsid w:val="00494F65"/>
    <w:rsid w:val="0049532B"/>
    <w:rsid w:val="00495E22"/>
    <w:rsid w:val="004A04C2"/>
    <w:rsid w:val="004A339F"/>
    <w:rsid w:val="004A3F6D"/>
    <w:rsid w:val="004A4616"/>
    <w:rsid w:val="004A546E"/>
    <w:rsid w:val="004A7532"/>
    <w:rsid w:val="004B0D40"/>
    <w:rsid w:val="004B4424"/>
    <w:rsid w:val="004C0ECF"/>
    <w:rsid w:val="004C1A8A"/>
    <w:rsid w:val="004C439A"/>
    <w:rsid w:val="004C5783"/>
    <w:rsid w:val="004D2752"/>
    <w:rsid w:val="004D6275"/>
    <w:rsid w:val="004D69EE"/>
    <w:rsid w:val="004E118E"/>
    <w:rsid w:val="004E3FE3"/>
    <w:rsid w:val="004E582A"/>
    <w:rsid w:val="004E66CE"/>
    <w:rsid w:val="004E7CCB"/>
    <w:rsid w:val="004F08D5"/>
    <w:rsid w:val="004F0C79"/>
    <w:rsid w:val="004F2336"/>
    <w:rsid w:val="004F4939"/>
    <w:rsid w:val="004F5217"/>
    <w:rsid w:val="004F5615"/>
    <w:rsid w:val="004F5B8C"/>
    <w:rsid w:val="004F6A92"/>
    <w:rsid w:val="004F6C1B"/>
    <w:rsid w:val="00501351"/>
    <w:rsid w:val="005015FF"/>
    <w:rsid w:val="005034BD"/>
    <w:rsid w:val="00504C37"/>
    <w:rsid w:val="005068E5"/>
    <w:rsid w:val="00506D27"/>
    <w:rsid w:val="00510751"/>
    <w:rsid w:val="00511C36"/>
    <w:rsid w:val="005127B8"/>
    <w:rsid w:val="00512B63"/>
    <w:rsid w:val="0051456C"/>
    <w:rsid w:val="00514AB7"/>
    <w:rsid w:val="0051513D"/>
    <w:rsid w:val="00516F57"/>
    <w:rsid w:val="00516F9A"/>
    <w:rsid w:val="00521022"/>
    <w:rsid w:val="00523918"/>
    <w:rsid w:val="00524D5F"/>
    <w:rsid w:val="005262DB"/>
    <w:rsid w:val="005302DD"/>
    <w:rsid w:val="0053030B"/>
    <w:rsid w:val="005315F4"/>
    <w:rsid w:val="00531730"/>
    <w:rsid w:val="0053585C"/>
    <w:rsid w:val="00537BA5"/>
    <w:rsid w:val="00547B98"/>
    <w:rsid w:val="00554E27"/>
    <w:rsid w:val="005564B8"/>
    <w:rsid w:val="005570FC"/>
    <w:rsid w:val="005616CD"/>
    <w:rsid w:val="00564CAE"/>
    <w:rsid w:val="00567666"/>
    <w:rsid w:val="00567F37"/>
    <w:rsid w:val="0057109E"/>
    <w:rsid w:val="00571E61"/>
    <w:rsid w:val="00572C0F"/>
    <w:rsid w:val="00574452"/>
    <w:rsid w:val="0057455A"/>
    <w:rsid w:val="00576A1E"/>
    <w:rsid w:val="0057714D"/>
    <w:rsid w:val="005830D4"/>
    <w:rsid w:val="00586E14"/>
    <w:rsid w:val="00587BEC"/>
    <w:rsid w:val="005928FD"/>
    <w:rsid w:val="005A1A01"/>
    <w:rsid w:val="005A1D1E"/>
    <w:rsid w:val="005A397C"/>
    <w:rsid w:val="005A3B18"/>
    <w:rsid w:val="005A420A"/>
    <w:rsid w:val="005A4E79"/>
    <w:rsid w:val="005A5A15"/>
    <w:rsid w:val="005B1592"/>
    <w:rsid w:val="005B1751"/>
    <w:rsid w:val="005B2733"/>
    <w:rsid w:val="005B34D7"/>
    <w:rsid w:val="005B4BD5"/>
    <w:rsid w:val="005B70C9"/>
    <w:rsid w:val="005C1A82"/>
    <w:rsid w:val="005C25BA"/>
    <w:rsid w:val="005C336D"/>
    <w:rsid w:val="005C458F"/>
    <w:rsid w:val="005C50D9"/>
    <w:rsid w:val="005C7BCE"/>
    <w:rsid w:val="005D15D5"/>
    <w:rsid w:val="005D26F2"/>
    <w:rsid w:val="005D70EB"/>
    <w:rsid w:val="005D7564"/>
    <w:rsid w:val="005E52B0"/>
    <w:rsid w:val="005E6067"/>
    <w:rsid w:val="005E7482"/>
    <w:rsid w:val="005F0EE4"/>
    <w:rsid w:val="005F349A"/>
    <w:rsid w:val="005F4F0E"/>
    <w:rsid w:val="005F78ED"/>
    <w:rsid w:val="006016F0"/>
    <w:rsid w:val="0060310A"/>
    <w:rsid w:val="006031D1"/>
    <w:rsid w:val="006040CE"/>
    <w:rsid w:val="00606ECE"/>
    <w:rsid w:val="00610A42"/>
    <w:rsid w:val="006138E7"/>
    <w:rsid w:val="00614047"/>
    <w:rsid w:val="006145DF"/>
    <w:rsid w:val="00615D44"/>
    <w:rsid w:val="00616A6D"/>
    <w:rsid w:val="00616E41"/>
    <w:rsid w:val="00620F5B"/>
    <w:rsid w:val="00622A61"/>
    <w:rsid w:val="0062436A"/>
    <w:rsid w:val="006246E7"/>
    <w:rsid w:val="006249C4"/>
    <w:rsid w:val="00630708"/>
    <w:rsid w:val="00630AF2"/>
    <w:rsid w:val="00630CA3"/>
    <w:rsid w:val="00631311"/>
    <w:rsid w:val="00631822"/>
    <w:rsid w:val="00633A61"/>
    <w:rsid w:val="00633FB0"/>
    <w:rsid w:val="00634669"/>
    <w:rsid w:val="00634A3B"/>
    <w:rsid w:val="0064371F"/>
    <w:rsid w:val="00643C95"/>
    <w:rsid w:val="006455B4"/>
    <w:rsid w:val="0064624C"/>
    <w:rsid w:val="00646CB1"/>
    <w:rsid w:val="0065042D"/>
    <w:rsid w:val="00650AF4"/>
    <w:rsid w:val="00654057"/>
    <w:rsid w:val="00660B8C"/>
    <w:rsid w:val="00662F68"/>
    <w:rsid w:val="006637B1"/>
    <w:rsid w:val="0066510F"/>
    <w:rsid w:val="006657E8"/>
    <w:rsid w:val="00667282"/>
    <w:rsid w:val="0066755C"/>
    <w:rsid w:val="006714B4"/>
    <w:rsid w:val="006754AA"/>
    <w:rsid w:val="00676DE1"/>
    <w:rsid w:val="00676ECA"/>
    <w:rsid w:val="006814AC"/>
    <w:rsid w:val="006816C5"/>
    <w:rsid w:val="00684BC1"/>
    <w:rsid w:val="00690FF4"/>
    <w:rsid w:val="0069272D"/>
    <w:rsid w:val="006930B9"/>
    <w:rsid w:val="00694D00"/>
    <w:rsid w:val="0069518B"/>
    <w:rsid w:val="006956DF"/>
    <w:rsid w:val="0069666E"/>
    <w:rsid w:val="00697920"/>
    <w:rsid w:val="006A6083"/>
    <w:rsid w:val="006A6EB2"/>
    <w:rsid w:val="006B045E"/>
    <w:rsid w:val="006B3C42"/>
    <w:rsid w:val="006C1420"/>
    <w:rsid w:val="006C30C7"/>
    <w:rsid w:val="006C39FF"/>
    <w:rsid w:val="006C3FA2"/>
    <w:rsid w:val="006C473E"/>
    <w:rsid w:val="006C50BB"/>
    <w:rsid w:val="006C5668"/>
    <w:rsid w:val="006C6CF0"/>
    <w:rsid w:val="006D20B6"/>
    <w:rsid w:val="006D4FAD"/>
    <w:rsid w:val="006D58D2"/>
    <w:rsid w:val="006E3959"/>
    <w:rsid w:val="006E3E3F"/>
    <w:rsid w:val="006E444E"/>
    <w:rsid w:val="006E6FEF"/>
    <w:rsid w:val="006F13A2"/>
    <w:rsid w:val="006F217A"/>
    <w:rsid w:val="006F437D"/>
    <w:rsid w:val="006F443A"/>
    <w:rsid w:val="006F4EDB"/>
    <w:rsid w:val="006F69A0"/>
    <w:rsid w:val="00700A60"/>
    <w:rsid w:val="00702680"/>
    <w:rsid w:val="0070490A"/>
    <w:rsid w:val="00710A96"/>
    <w:rsid w:val="00711749"/>
    <w:rsid w:val="00711AE0"/>
    <w:rsid w:val="00713D99"/>
    <w:rsid w:val="007149C2"/>
    <w:rsid w:val="00715439"/>
    <w:rsid w:val="007155C0"/>
    <w:rsid w:val="00715D7B"/>
    <w:rsid w:val="00720121"/>
    <w:rsid w:val="00720975"/>
    <w:rsid w:val="00722D8E"/>
    <w:rsid w:val="0072592F"/>
    <w:rsid w:val="00726FE5"/>
    <w:rsid w:val="0073103B"/>
    <w:rsid w:val="00732A1E"/>
    <w:rsid w:val="00733912"/>
    <w:rsid w:val="00734E62"/>
    <w:rsid w:val="00737F7D"/>
    <w:rsid w:val="00746DA2"/>
    <w:rsid w:val="00747679"/>
    <w:rsid w:val="0075137E"/>
    <w:rsid w:val="007539BE"/>
    <w:rsid w:val="007560C8"/>
    <w:rsid w:val="0075670D"/>
    <w:rsid w:val="0075709D"/>
    <w:rsid w:val="007577B5"/>
    <w:rsid w:val="007579B4"/>
    <w:rsid w:val="0076126E"/>
    <w:rsid w:val="007641E2"/>
    <w:rsid w:val="00765A8B"/>
    <w:rsid w:val="00766FDE"/>
    <w:rsid w:val="007704A7"/>
    <w:rsid w:val="0077417E"/>
    <w:rsid w:val="00775A6D"/>
    <w:rsid w:val="00775DF2"/>
    <w:rsid w:val="0077649C"/>
    <w:rsid w:val="00781C66"/>
    <w:rsid w:val="00782173"/>
    <w:rsid w:val="00782E1D"/>
    <w:rsid w:val="0078340B"/>
    <w:rsid w:val="0078612C"/>
    <w:rsid w:val="007861DC"/>
    <w:rsid w:val="00787DF3"/>
    <w:rsid w:val="00791096"/>
    <w:rsid w:val="00791C79"/>
    <w:rsid w:val="00794038"/>
    <w:rsid w:val="00794884"/>
    <w:rsid w:val="007953B4"/>
    <w:rsid w:val="007A1F0C"/>
    <w:rsid w:val="007A237B"/>
    <w:rsid w:val="007A5204"/>
    <w:rsid w:val="007A5D55"/>
    <w:rsid w:val="007A6FF2"/>
    <w:rsid w:val="007A773E"/>
    <w:rsid w:val="007B3B70"/>
    <w:rsid w:val="007B5814"/>
    <w:rsid w:val="007B64BF"/>
    <w:rsid w:val="007B723A"/>
    <w:rsid w:val="007B77F6"/>
    <w:rsid w:val="007B7DA7"/>
    <w:rsid w:val="007C10E9"/>
    <w:rsid w:val="007C1467"/>
    <w:rsid w:val="007C4293"/>
    <w:rsid w:val="007C4911"/>
    <w:rsid w:val="007C495E"/>
    <w:rsid w:val="007C51B3"/>
    <w:rsid w:val="007C65C9"/>
    <w:rsid w:val="007D0A89"/>
    <w:rsid w:val="007D22C2"/>
    <w:rsid w:val="007D2E61"/>
    <w:rsid w:val="007D3321"/>
    <w:rsid w:val="007D454E"/>
    <w:rsid w:val="007D49E8"/>
    <w:rsid w:val="007D5CC5"/>
    <w:rsid w:val="007E3FB4"/>
    <w:rsid w:val="007E5E8E"/>
    <w:rsid w:val="007E7DE1"/>
    <w:rsid w:val="007F05BB"/>
    <w:rsid w:val="007F1A0E"/>
    <w:rsid w:val="007F1FA3"/>
    <w:rsid w:val="00804F8A"/>
    <w:rsid w:val="008060C5"/>
    <w:rsid w:val="0080793F"/>
    <w:rsid w:val="00807B90"/>
    <w:rsid w:val="00811004"/>
    <w:rsid w:val="00811A27"/>
    <w:rsid w:val="00811FF7"/>
    <w:rsid w:val="0081322D"/>
    <w:rsid w:val="008136AC"/>
    <w:rsid w:val="00813C1C"/>
    <w:rsid w:val="00814639"/>
    <w:rsid w:val="00824ED9"/>
    <w:rsid w:val="00825893"/>
    <w:rsid w:val="00827123"/>
    <w:rsid w:val="00827B9B"/>
    <w:rsid w:val="00827E2B"/>
    <w:rsid w:val="008340E7"/>
    <w:rsid w:val="008444F5"/>
    <w:rsid w:val="008445DA"/>
    <w:rsid w:val="0084556B"/>
    <w:rsid w:val="00846D0A"/>
    <w:rsid w:val="00850F66"/>
    <w:rsid w:val="008517E1"/>
    <w:rsid w:val="00852221"/>
    <w:rsid w:val="0085610F"/>
    <w:rsid w:val="00856E87"/>
    <w:rsid w:val="008602A5"/>
    <w:rsid w:val="0086575A"/>
    <w:rsid w:val="008668BD"/>
    <w:rsid w:val="00866DFD"/>
    <w:rsid w:val="00872F40"/>
    <w:rsid w:val="008778B4"/>
    <w:rsid w:val="00880581"/>
    <w:rsid w:val="00883B0E"/>
    <w:rsid w:val="008857EA"/>
    <w:rsid w:val="00887B99"/>
    <w:rsid w:val="00890EE5"/>
    <w:rsid w:val="008916C5"/>
    <w:rsid w:val="008945D7"/>
    <w:rsid w:val="00895D22"/>
    <w:rsid w:val="00896DC6"/>
    <w:rsid w:val="008978C1"/>
    <w:rsid w:val="008A223B"/>
    <w:rsid w:val="008A4463"/>
    <w:rsid w:val="008A5397"/>
    <w:rsid w:val="008B371A"/>
    <w:rsid w:val="008B3DB9"/>
    <w:rsid w:val="008B4D1F"/>
    <w:rsid w:val="008B7522"/>
    <w:rsid w:val="008C03E0"/>
    <w:rsid w:val="008C31CA"/>
    <w:rsid w:val="008C6A3B"/>
    <w:rsid w:val="008C7D7B"/>
    <w:rsid w:val="008D0062"/>
    <w:rsid w:val="008D09B0"/>
    <w:rsid w:val="008D19B9"/>
    <w:rsid w:val="008D384E"/>
    <w:rsid w:val="008D3AAF"/>
    <w:rsid w:val="008D5D83"/>
    <w:rsid w:val="008D627E"/>
    <w:rsid w:val="008D6A09"/>
    <w:rsid w:val="008D765A"/>
    <w:rsid w:val="008E3475"/>
    <w:rsid w:val="008E42BC"/>
    <w:rsid w:val="008E4B90"/>
    <w:rsid w:val="008E4EAB"/>
    <w:rsid w:val="008E79D4"/>
    <w:rsid w:val="008F1518"/>
    <w:rsid w:val="008F16FB"/>
    <w:rsid w:val="008F4656"/>
    <w:rsid w:val="008F530B"/>
    <w:rsid w:val="00900FF9"/>
    <w:rsid w:val="0090241E"/>
    <w:rsid w:val="00903779"/>
    <w:rsid w:val="009043B8"/>
    <w:rsid w:val="009054A7"/>
    <w:rsid w:val="0090747D"/>
    <w:rsid w:val="00913166"/>
    <w:rsid w:val="009144DB"/>
    <w:rsid w:val="00922603"/>
    <w:rsid w:val="00922956"/>
    <w:rsid w:val="00924C06"/>
    <w:rsid w:val="009254F0"/>
    <w:rsid w:val="00933401"/>
    <w:rsid w:val="0093469D"/>
    <w:rsid w:val="00937B12"/>
    <w:rsid w:val="00940551"/>
    <w:rsid w:val="00943213"/>
    <w:rsid w:val="00943787"/>
    <w:rsid w:val="00943FF3"/>
    <w:rsid w:val="009450D8"/>
    <w:rsid w:val="0094536E"/>
    <w:rsid w:val="00945900"/>
    <w:rsid w:val="00945F63"/>
    <w:rsid w:val="0095092E"/>
    <w:rsid w:val="0095133A"/>
    <w:rsid w:val="00953BC8"/>
    <w:rsid w:val="009545EF"/>
    <w:rsid w:val="00954889"/>
    <w:rsid w:val="0096321D"/>
    <w:rsid w:val="00963511"/>
    <w:rsid w:val="00963A60"/>
    <w:rsid w:val="009649C9"/>
    <w:rsid w:val="00965F66"/>
    <w:rsid w:val="009665B5"/>
    <w:rsid w:val="00967901"/>
    <w:rsid w:val="00967974"/>
    <w:rsid w:val="00973AD3"/>
    <w:rsid w:val="00974A81"/>
    <w:rsid w:val="00975461"/>
    <w:rsid w:val="00977730"/>
    <w:rsid w:val="0098176D"/>
    <w:rsid w:val="0098670D"/>
    <w:rsid w:val="00986F01"/>
    <w:rsid w:val="009905E4"/>
    <w:rsid w:val="00990E6C"/>
    <w:rsid w:val="00993758"/>
    <w:rsid w:val="009942A6"/>
    <w:rsid w:val="0099474A"/>
    <w:rsid w:val="00994B4A"/>
    <w:rsid w:val="009950CC"/>
    <w:rsid w:val="0099681D"/>
    <w:rsid w:val="009A2648"/>
    <w:rsid w:val="009A3C5E"/>
    <w:rsid w:val="009A7913"/>
    <w:rsid w:val="009A7A45"/>
    <w:rsid w:val="009B01F3"/>
    <w:rsid w:val="009B146E"/>
    <w:rsid w:val="009B2DCA"/>
    <w:rsid w:val="009B3507"/>
    <w:rsid w:val="009B49CB"/>
    <w:rsid w:val="009B59EE"/>
    <w:rsid w:val="009B7FDD"/>
    <w:rsid w:val="009D1768"/>
    <w:rsid w:val="009D1BB6"/>
    <w:rsid w:val="009D3D21"/>
    <w:rsid w:val="009D4F3D"/>
    <w:rsid w:val="009D5B56"/>
    <w:rsid w:val="009D7ACB"/>
    <w:rsid w:val="009E2033"/>
    <w:rsid w:val="009E458E"/>
    <w:rsid w:val="009E47D8"/>
    <w:rsid w:val="009E652F"/>
    <w:rsid w:val="009E75AE"/>
    <w:rsid w:val="009F0820"/>
    <w:rsid w:val="009F2DDD"/>
    <w:rsid w:val="00A0093D"/>
    <w:rsid w:val="00A00E92"/>
    <w:rsid w:val="00A02A0B"/>
    <w:rsid w:val="00A02B4D"/>
    <w:rsid w:val="00A06B76"/>
    <w:rsid w:val="00A07CB7"/>
    <w:rsid w:val="00A1312D"/>
    <w:rsid w:val="00A2018E"/>
    <w:rsid w:val="00A227D6"/>
    <w:rsid w:val="00A23142"/>
    <w:rsid w:val="00A23960"/>
    <w:rsid w:val="00A256BD"/>
    <w:rsid w:val="00A26227"/>
    <w:rsid w:val="00A265DC"/>
    <w:rsid w:val="00A27567"/>
    <w:rsid w:val="00A34047"/>
    <w:rsid w:val="00A356E5"/>
    <w:rsid w:val="00A36835"/>
    <w:rsid w:val="00A41070"/>
    <w:rsid w:val="00A43196"/>
    <w:rsid w:val="00A441D7"/>
    <w:rsid w:val="00A44289"/>
    <w:rsid w:val="00A54CC3"/>
    <w:rsid w:val="00A55C55"/>
    <w:rsid w:val="00A56378"/>
    <w:rsid w:val="00A56A32"/>
    <w:rsid w:val="00A60B61"/>
    <w:rsid w:val="00A62197"/>
    <w:rsid w:val="00A6251D"/>
    <w:rsid w:val="00A62BEE"/>
    <w:rsid w:val="00A63057"/>
    <w:rsid w:val="00A63EA3"/>
    <w:rsid w:val="00A66B1A"/>
    <w:rsid w:val="00A67355"/>
    <w:rsid w:val="00A7226B"/>
    <w:rsid w:val="00A74EC9"/>
    <w:rsid w:val="00A76B1A"/>
    <w:rsid w:val="00A83E83"/>
    <w:rsid w:val="00A8472E"/>
    <w:rsid w:val="00A84D62"/>
    <w:rsid w:val="00A85E87"/>
    <w:rsid w:val="00A90CDC"/>
    <w:rsid w:val="00A910D4"/>
    <w:rsid w:val="00A91966"/>
    <w:rsid w:val="00A91BA0"/>
    <w:rsid w:val="00A9359B"/>
    <w:rsid w:val="00A961B6"/>
    <w:rsid w:val="00AA008F"/>
    <w:rsid w:val="00AA11A8"/>
    <w:rsid w:val="00AA1B75"/>
    <w:rsid w:val="00AA28EB"/>
    <w:rsid w:val="00AA29CE"/>
    <w:rsid w:val="00AA3C06"/>
    <w:rsid w:val="00AA4BAF"/>
    <w:rsid w:val="00AA578C"/>
    <w:rsid w:val="00AB4060"/>
    <w:rsid w:val="00AC1B7C"/>
    <w:rsid w:val="00AC50D4"/>
    <w:rsid w:val="00AC571C"/>
    <w:rsid w:val="00AC6FCF"/>
    <w:rsid w:val="00AC722B"/>
    <w:rsid w:val="00AC757B"/>
    <w:rsid w:val="00AD07C8"/>
    <w:rsid w:val="00AD1744"/>
    <w:rsid w:val="00AD23BD"/>
    <w:rsid w:val="00AD6DDD"/>
    <w:rsid w:val="00AE1C70"/>
    <w:rsid w:val="00AE4E27"/>
    <w:rsid w:val="00AE67A3"/>
    <w:rsid w:val="00AE7DCA"/>
    <w:rsid w:val="00AF1351"/>
    <w:rsid w:val="00AF15A7"/>
    <w:rsid w:val="00AF3CC7"/>
    <w:rsid w:val="00AF4B3B"/>
    <w:rsid w:val="00AF69DE"/>
    <w:rsid w:val="00B03818"/>
    <w:rsid w:val="00B10992"/>
    <w:rsid w:val="00B1211E"/>
    <w:rsid w:val="00B1217A"/>
    <w:rsid w:val="00B12995"/>
    <w:rsid w:val="00B144E0"/>
    <w:rsid w:val="00B16101"/>
    <w:rsid w:val="00B16656"/>
    <w:rsid w:val="00B26C03"/>
    <w:rsid w:val="00B31AF4"/>
    <w:rsid w:val="00B34FA4"/>
    <w:rsid w:val="00B3505A"/>
    <w:rsid w:val="00B36294"/>
    <w:rsid w:val="00B379A2"/>
    <w:rsid w:val="00B421B5"/>
    <w:rsid w:val="00B463FE"/>
    <w:rsid w:val="00B4683B"/>
    <w:rsid w:val="00B527C2"/>
    <w:rsid w:val="00B556F7"/>
    <w:rsid w:val="00B56F48"/>
    <w:rsid w:val="00B57C90"/>
    <w:rsid w:val="00B70755"/>
    <w:rsid w:val="00B708D8"/>
    <w:rsid w:val="00B72B1D"/>
    <w:rsid w:val="00B72D35"/>
    <w:rsid w:val="00B73EB3"/>
    <w:rsid w:val="00B74A9B"/>
    <w:rsid w:val="00B832AA"/>
    <w:rsid w:val="00B872E7"/>
    <w:rsid w:val="00B920E0"/>
    <w:rsid w:val="00B92F82"/>
    <w:rsid w:val="00B93725"/>
    <w:rsid w:val="00B9605F"/>
    <w:rsid w:val="00B962CB"/>
    <w:rsid w:val="00B965D5"/>
    <w:rsid w:val="00BA2DEB"/>
    <w:rsid w:val="00BA6308"/>
    <w:rsid w:val="00BB117D"/>
    <w:rsid w:val="00BB331E"/>
    <w:rsid w:val="00BB6E69"/>
    <w:rsid w:val="00BC38CC"/>
    <w:rsid w:val="00BC457F"/>
    <w:rsid w:val="00BD0AB8"/>
    <w:rsid w:val="00BD1CA0"/>
    <w:rsid w:val="00BD4A7D"/>
    <w:rsid w:val="00BD4C16"/>
    <w:rsid w:val="00BD72C9"/>
    <w:rsid w:val="00BE0383"/>
    <w:rsid w:val="00BE1977"/>
    <w:rsid w:val="00BE2608"/>
    <w:rsid w:val="00BE3B8A"/>
    <w:rsid w:val="00BE5508"/>
    <w:rsid w:val="00BF0011"/>
    <w:rsid w:val="00BF12BF"/>
    <w:rsid w:val="00BF2433"/>
    <w:rsid w:val="00BF46D3"/>
    <w:rsid w:val="00BF5003"/>
    <w:rsid w:val="00BF6A8F"/>
    <w:rsid w:val="00BF7C82"/>
    <w:rsid w:val="00C1163D"/>
    <w:rsid w:val="00C122A3"/>
    <w:rsid w:val="00C13525"/>
    <w:rsid w:val="00C15325"/>
    <w:rsid w:val="00C16867"/>
    <w:rsid w:val="00C16E73"/>
    <w:rsid w:val="00C23842"/>
    <w:rsid w:val="00C26165"/>
    <w:rsid w:val="00C27ED8"/>
    <w:rsid w:val="00C329AE"/>
    <w:rsid w:val="00C34220"/>
    <w:rsid w:val="00C34AF6"/>
    <w:rsid w:val="00C3675F"/>
    <w:rsid w:val="00C40231"/>
    <w:rsid w:val="00C43A5B"/>
    <w:rsid w:val="00C44B3E"/>
    <w:rsid w:val="00C472DC"/>
    <w:rsid w:val="00C50BE3"/>
    <w:rsid w:val="00C53208"/>
    <w:rsid w:val="00C536C1"/>
    <w:rsid w:val="00C54326"/>
    <w:rsid w:val="00C55E85"/>
    <w:rsid w:val="00C55F84"/>
    <w:rsid w:val="00C56411"/>
    <w:rsid w:val="00C56B24"/>
    <w:rsid w:val="00C578E3"/>
    <w:rsid w:val="00C60C97"/>
    <w:rsid w:val="00C60E5E"/>
    <w:rsid w:val="00C6234E"/>
    <w:rsid w:val="00C64479"/>
    <w:rsid w:val="00C6683A"/>
    <w:rsid w:val="00C6731F"/>
    <w:rsid w:val="00C67F38"/>
    <w:rsid w:val="00C723AC"/>
    <w:rsid w:val="00C74B3F"/>
    <w:rsid w:val="00C80578"/>
    <w:rsid w:val="00C82114"/>
    <w:rsid w:val="00C82549"/>
    <w:rsid w:val="00C8287D"/>
    <w:rsid w:val="00C82F64"/>
    <w:rsid w:val="00C84D14"/>
    <w:rsid w:val="00C863A7"/>
    <w:rsid w:val="00C871A3"/>
    <w:rsid w:val="00C8720A"/>
    <w:rsid w:val="00C87530"/>
    <w:rsid w:val="00C90B8C"/>
    <w:rsid w:val="00C96D1E"/>
    <w:rsid w:val="00CA26B1"/>
    <w:rsid w:val="00CA2A13"/>
    <w:rsid w:val="00CA34E6"/>
    <w:rsid w:val="00CA3782"/>
    <w:rsid w:val="00CA3962"/>
    <w:rsid w:val="00CA41AC"/>
    <w:rsid w:val="00CA5ACB"/>
    <w:rsid w:val="00CB00ED"/>
    <w:rsid w:val="00CB16E7"/>
    <w:rsid w:val="00CB3882"/>
    <w:rsid w:val="00CB3E4F"/>
    <w:rsid w:val="00CB61A6"/>
    <w:rsid w:val="00CC14EB"/>
    <w:rsid w:val="00CC2F11"/>
    <w:rsid w:val="00CC3541"/>
    <w:rsid w:val="00CC38BF"/>
    <w:rsid w:val="00CC3BCD"/>
    <w:rsid w:val="00CC442A"/>
    <w:rsid w:val="00CC6314"/>
    <w:rsid w:val="00CC7783"/>
    <w:rsid w:val="00CD052F"/>
    <w:rsid w:val="00CD3693"/>
    <w:rsid w:val="00CD3B48"/>
    <w:rsid w:val="00CD3FFF"/>
    <w:rsid w:val="00CD515D"/>
    <w:rsid w:val="00CD5569"/>
    <w:rsid w:val="00CD5FAC"/>
    <w:rsid w:val="00CE195D"/>
    <w:rsid w:val="00CE58F1"/>
    <w:rsid w:val="00CF0719"/>
    <w:rsid w:val="00CF1249"/>
    <w:rsid w:val="00CF46A5"/>
    <w:rsid w:val="00CF4B47"/>
    <w:rsid w:val="00CF4D83"/>
    <w:rsid w:val="00CF6FD8"/>
    <w:rsid w:val="00D0140F"/>
    <w:rsid w:val="00D0174E"/>
    <w:rsid w:val="00D017B9"/>
    <w:rsid w:val="00D0264C"/>
    <w:rsid w:val="00D02D49"/>
    <w:rsid w:val="00D06081"/>
    <w:rsid w:val="00D1081A"/>
    <w:rsid w:val="00D11BA0"/>
    <w:rsid w:val="00D11F37"/>
    <w:rsid w:val="00D16D29"/>
    <w:rsid w:val="00D17EC3"/>
    <w:rsid w:val="00D2002C"/>
    <w:rsid w:val="00D2324B"/>
    <w:rsid w:val="00D3160F"/>
    <w:rsid w:val="00D33C13"/>
    <w:rsid w:val="00D356CD"/>
    <w:rsid w:val="00D4304B"/>
    <w:rsid w:val="00D43F23"/>
    <w:rsid w:val="00D45804"/>
    <w:rsid w:val="00D469F0"/>
    <w:rsid w:val="00D5454A"/>
    <w:rsid w:val="00D55305"/>
    <w:rsid w:val="00D66F0D"/>
    <w:rsid w:val="00D67F40"/>
    <w:rsid w:val="00D726A2"/>
    <w:rsid w:val="00D730FD"/>
    <w:rsid w:val="00D74268"/>
    <w:rsid w:val="00D7542A"/>
    <w:rsid w:val="00D756D5"/>
    <w:rsid w:val="00D80738"/>
    <w:rsid w:val="00D84875"/>
    <w:rsid w:val="00D864EA"/>
    <w:rsid w:val="00D86E4C"/>
    <w:rsid w:val="00D873AB"/>
    <w:rsid w:val="00D9047E"/>
    <w:rsid w:val="00D94D2E"/>
    <w:rsid w:val="00D97A81"/>
    <w:rsid w:val="00DA0DE1"/>
    <w:rsid w:val="00DA26EC"/>
    <w:rsid w:val="00DA328A"/>
    <w:rsid w:val="00DA4B41"/>
    <w:rsid w:val="00DA52C6"/>
    <w:rsid w:val="00DA6EA4"/>
    <w:rsid w:val="00DA790E"/>
    <w:rsid w:val="00DA7A0F"/>
    <w:rsid w:val="00DA7E13"/>
    <w:rsid w:val="00DB0458"/>
    <w:rsid w:val="00DB1B9B"/>
    <w:rsid w:val="00DB2286"/>
    <w:rsid w:val="00DB2296"/>
    <w:rsid w:val="00DB4329"/>
    <w:rsid w:val="00DB475B"/>
    <w:rsid w:val="00DC039A"/>
    <w:rsid w:val="00DC22A9"/>
    <w:rsid w:val="00DC33A1"/>
    <w:rsid w:val="00DC5F42"/>
    <w:rsid w:val="00DC6237"/>
    <w:rsid w:val="00DC6657"/>
    <w:rsid w:val="00DC74AB"/>
    <w:rsid w:val="00DC7F79"/>
    <w:rsid w:val="00DD27C1"/>
    <w:rsid w:val="00DD55FC"/>
    <w:rsid w:val="00DD5E63"/>
    <w:rsid w:val="00DD6969"/>
    <w:rsid w:val="00DD6B1C"/>
    <w:rsid w:val="00DE2C2C"/>
    <w:rsid w:val="00DE5C87"/>
    <w:rsid w:val="00DF0E9A"/>
    <w:rsid w:val="00DF6598"/>
    <w:rsid w:val="00E00D50"/>
    <w:rsid w:val="00E02888"/>
    <w:rsid w:val="00E03F14"/>
    <w:rsid w:val="00E04476"/>
    <w:rsid w:val="00E0471A"/>
    <w:rsid w:val="00E052D6"/>
    <w:rsid w:val="00E06D6F"/>
    <w:rsid w:val="00E10B76"/>
    <w:rsid w:val="00E10D73"/>
    <w:rsid w:val="00E11C21"/>
    <w:rsid w:val="00E11C5B"/>
    <w:rsid w:val="00E14D21"/>
    <w:rsid w:val="00E15F8A"/>
    <w:rsid w:val="00E1756F"/>
    <w:rsid w:val="00E20C5F"/>
    <w:rsid w:val="00E20D62"/>
    <w:rsid w:val="00E2163E"/>
    <w:rsid w:val="00E221EA"/>
    <w:rsid w:val="00E225D2"/>
    <w:rsid w:val="00E24A07"/>
    <w:rsid w:val="00E258E7"/>
    <w:rsid w:val="00E25D78"/>
    <w:rsid w:val="00E3095D"/>
    <w:rsid w:val="00E325B2"/>
    <w:rsid w:val="00E34402"/>
    <w:rsid w:val="00E407B3"/>
    <w:rsid w:val="00E451D4"/>
    <w:rsid w:val="00E4528D"/>
    <w:rsid w:val="00E5000C"/>
    <w:rsid w:val="00E50E81"/>
    <w:rsid w:val="00E51898"/>
    <w:rsid w:val="00E6109F"/>
    <w:rsid w:val="00E62CAE"/>
    <w:rsid w:val="00E62F83"/>
    <w:rsid w:val="00E715B5"/>
    <w:rsid w:val="00E725BC"/>
    <w:rsid w:val="00E732D5"/>
    <w:rsid w:val="00E736A3"/>
    <w:rsid w:val="00E74796"/>
    <w:rsid w:val="00E763AA"/>
    <w:rsid w:val="00E8114D"/>
    <w:rsid w:val="00E82A8C"/>
    <w:rsid w:val="00E850AA"/>
    <w:rsid w:val="00E965E7"/>
    <w:rsid w:val="00EA0E1A"/>
    <w:rsid w:val="00EA1F2A"/>
    <w:rsid w:val="00EA214F"/>
    <w:rsid w:val="00EA2FD9"/>
    <w:rsid w:val="00EA62E2"/>
    <w:rsid w:val="00EB134F"/>
    <w:rsid w:val="00EB53A2"/>
    <w:rsid w:val="00EB69A1"/>
    <w:rsid w:val="00EC0955"/>
    <w:rsid w:val="00EC11A0"/>
    <w:rsid w:val="00EC3764"/>
    <w:rsid w:val="00EC3923"/>
    <w:rsid w:val="00EC4A77"/>
    <w:rsid w:val="00EC6D16"/>
    <w:rsid w:val="00ED4055"/>
    <w:rsid w:val="00ED41F2"/>
    <w:rsid w:val="00ED5AAD"/>
    <w:rsid w:val="00ED61FA"/>
    <w:rsid w:val="00ED64DD"/>
    <w:rsid w:val="00ED7C9F"/>
    <w:rsid w:val="00EE5378"/>
    <w:rsid w:val="00EF0C80"/>
    <w:rsid w:val="00EF4022"/>
    <w:rsid w:val="00EF4E51"/>
    <w:rsid w:val="00EF54D3"/>
    <w:rsid w:val="00EF6499"/>
    <w:rsid w:val="00EF6577"/>
    <w:rsid w:val="00EF6EA2"/>
    <w:rsid w:val="00F0054B"/>
    <w:rsid w:val="00F03595"/>
    <w:rsid w:val="00F03F5E"/>
    <w:rsid w:val="00F0496C"/>
    <w:rsid w:val="00F061F4"/>
    <w:rsid w:val="00F07DE7"/>
    <w:rsid w:val="00F1198F"/>
    <w:rsid w:val="00F12027"/>
    <w:rsid w:val="00F121D8"/>
    <w:rsid w:val="00F12AC5"/>
    <w:rsid w:val="00F143BE"/>
    <w:rsid w:val="00F154F1"/>
    <w:rsid w:val="00F1640B"/>
    <w:rsid w:val="00F17B4E"/>
    <w:rsid w:val="00F206FC"/>
    <w:rsid w:val="00F208BE"/>
    <w:rsid w:val="00F251BB"/>
    <w:rsid w:val="00F276A3"/>
    <w:rsid w:val="00F315EB"/>
    <w:rsid w:val="00F3366A"/>
    <w:rsid w:val="00F35AF2"/>
    <w:rsid w:val="00F378BC"/>
    <w:rsid w:val="00F44F1E"/>
    <w:rsid w:val="00F458CE"/>
    <w:rsid w:val="00F46454"/>
    <w:rsid w:val="00F5222E"/>
    <w:rsid w:val="00F544EA"/>
    <w:rsid w:val="00F573FD"/>
    <w:rsid w:val="00F600A2"/>
    <w:rsid w:val="00F60565"/>
    <w:rsid w:val="00F6104C"/>
    <w:rsid w:val="00F6387C"/>
    <w:rsid w:val="00F6486F"/>
    <w:rsid w:val="00F66CF9"/>
    <w:rsid w:val="00F6700E"/>
    <w:rsid w:val="00F6764D"/>
    <w:rsid w:val="00F70651"/>
    <w:rsid w:val="00F707EE"/>
    <w:rsid w:val="00F719D3"/>
    <w:rsid w:val="00F7570D"/>
    <w:rsid w:val="00F83115"/>
    <w:rsid w:val="00F84ABE"/>
    <w:rsid w:val="00F861EB"/>
    <w:rsid w:val="00F909D5"/>
    <w:rsid w:val="00F9359F"/>
    <w:rsid w:val="00F93EEE"/>
    <w:rsid w:val="00FA03A1"/>
    <w:rsid w:val="00FA1FA2"/>
    <w:rsid w:val="00FA420C"/>
    <w:rsid w:val="00FA6FEC"/>
    <w:rsid w:val="00FB0097"/>
    <w:rsid w:val="00FB67A9"/>
    <w:rsid w:val="00FB7635"/>
    <w:rsid w:val="00FC06C3"/>
    <w:rsid w:val="00FC3407"/>
    <w:rsid w:val="00FC39B0"/>
    <w:rsid w:val="00FC62DD"/>
    <w:rsid w:val="00FD047F"/>
    <w:rsid w:val="00FD0D8F"/>
    <w:rsid w:val="00FD0EE6"/>
    <w:rsid w:val="00FD1046"/>
    <w:rsid w:val="00FD298F"/>
    <w:rsid w:val="00FD3679"/>
    <w:rsid w:val="00FD3AF7"/>
    <w:rsid w:val="00FD4259"/>
    <w:rsid w:val="00FD535C"/>
    <w:rsid w:val="00FD6E46"/>
    <w:rsid w:val="00FD732B"/>
    <w:rsid w:val="00FE0144"/>
    <w:rsid w:val="00FE0E69"/>
    <w:rsid w:val="00FE175D"/>
    <w:rsid w:val="00FE3783"/>
    <w:rsid w:val="00FE6F1A"/>
    <w:rsid w:val="00FF17D6"/>
    <w:rsid w:val="00FF25DB"/>
    <w:rsid w:val="00FF4F18"/>
    <w:rsid w:val="0488638D"/>
    <w:rsid w:val="07BA5404"/>
    <w:rsid w:val="0B8A75EB"/>
    <w:rsid w:val="0D6A7B40"/>
    <w:rsid w:val="0D7F3DB6"/>
    <w:rsid w:val="1034081E"/>
    <w:rsid w:val="1213646C"/>
    <w:rsid w:val="12487B4F"/>
    <w:rsid w:val="12C45A5B"/>
    <w:rsid w:val="1397174F"/>
    <w:rsid w:val="20BF2249"/>
    <w:rsid w:val="217A2593"/>
    <w:rsid w:val="241C273B"/>
    <w:rsid w:val="24CE7E3D"/>
    <w:rsid w:val="26062052"/>
    <w:rsid w:val="26E9272C"/>
    <w:rsid w:val="272C43C2"/>
    <w:rsid w:val="27713988"/>
    <w:rsid w:val="282977B1"/>
    <w:rsid w:val="29DD77FF"/>
    <w:rsid w:val="2C3C4146"/>
    <w:rsid w:val="30946EC4"/>
    <w:rsid w:val="30C117B7"/>
    <w:rsid w:val="38772314"/>
    <w:rsid w:val="38FD2398"/>
    <w:rsid w:val="3B8F692E"/>
    <w:rsid w:val="3CBC411F"/>
    <w:rsid w:val="401D35F6"/>
    <w:rsid w:val="507E553D"/>
    <w:rsid w:val="554D7928"/>
    <w:rsid w:val="56B06335"/>
    <w:rsid w:val="57257E04"/>
    <w:rsid w:val="57BE196C"/>
    <w:rsid w:val="5A7843A6"/>
    <w:rsid w:val="601E6707"/>
    <w:rsid w:val="64111B86"/>
    <w:rsid w:val="6E8D62BC"/>
    <w:rsid w:val="6ECD1464"/>
    <w:rsid w:val="753B16A4"/>
    <w:rsid w:val="77A258F0"/>
    <w:rsid w:val="7DD41E32"/>
    <w:rsid w:val="7E1377EB"/>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imes New Roman" w:cs="Times New Roman"/>
      <w:sz w:val="24"/>
      <w:szCs w:val="24"/>
      <w:lang w:val="en-US" w:eastAsia="en-US" w:bidi="ar-SA"/>
    </w:rPr>
  </w:style>
  <w:style w:type="paragraph" w:styleId="2">
    <w:name w:val="heading 1"/>
    <w:basedOn w:val="1"/>
    <w:next w:val="1"/>
    <w:link w:val="21"/>
    <w:qFormat/>
    <w:uiPriority w:val="9"/>
    <w:pPr>
      <w:keepNext/>
      <w:keepLines/>
      <w:spacing w:before="480"/>
      <w:outlineLvl w:val="0"/>
    </w:pPr>
    <w:rPr>
      <w:rFonts w:ascii="Cambria" w:hAnsi="Cambria"/>
      <w:b/>
      <w:bCs/>
      <w:color w:val="365F91"/>
      <w:sz w:val="28"/>
      <w:szCs w:val="28"/>
    </w:rPr>
  </w:style>
  <w:style w:type="paragraph" w:styleId="3">
    <w:name w:val="heading 2"/>
    <w:basedOn w:val="1"/>
    <w:next w:val="1"/>
    <w:link w:val="17"/>
    <w:qFormat/>
    <w:uiPriority w:val="0"/>
    <w:pPr>
      <w:keepNext/>
      <w:ind w:left="3600" w:hanging="3600"/>
      <w:outlineLvl w:val="1"/>
    </w:pPr>
    <w:rPr>
      <w:rFonts w:ascii="Tahoma" w:hAnsi="Tahoma"/>
      <w:b/>
      <w:bCs/>
    </w:rPr>
  </w:style>
  <w:style w:type="paragraph" w:styleId="4">
    <w:name w:val="heading 3"/>
    <w:basedOn w:val="1"/>
    <w:next w:val="1"/>
    <w:link w:val="23"/>
    <w:qFormat/>
    <w:uiPriority w:val="0"/>
    <w:pPr>
      <w:keepNext/>
      <w:spacing w:before="240" w:after="60"/>
      <w:outlineLvl w:val="2"/>
    </w:pPr>
    <w:rPr>
      <w:rFonts w:ascii="Arial" w:hAnsi="Arial"/>
      <w:b/>
      <w:bCs/>
      <w:sz w:val="26"/>
      <w:szCs w:val="26"/>
    </w:rPr>
  </w:style>
  <w:style w:type="paragraph" w:styleId="5">
    <w:name w:val="heading 6"/>
    <w:basedOn w:val="1"/>
    <w:next w:val="1"/>
    <w:link w:val="18"/>
    <w:qFormat/>
    <w:uiPriority w:val="0"/>
    <w:pPr>
      <w:keepNext/>
      <w:ind w:left="1440" w:firstLine="720"/>
      <w:outlineLvl w:val="5"/>
    </w:pPr>
    <w:rPr>
      <w:rFonts w:ascii="Tahoma" w:hAnsi="Tahoma"/>
      <w:b/>
      <w:bCs/>
      <w:sz w:val="32"/>
    </w:rPr>
  </w:style>
  <w:style w:type="character" w:default="1" w:styleId="12">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4"/>
    <w:unhideWhenUsed/>
    <w:qFormat/>
    <w:uiPriority w:val="99"/>
    <w:pPr>
      <w:spacing w:after="0" w:line="240" w:lineRule="auto"/>
    </w:pPr>
    <w:rPr>
      <w:rFonts w:ascii="Tahoma" w:hAnsi="Tahoma" w:cs="Tahoma"/>
      <w:sz w:val="16"/>
      <w:szCs w:val="16"/>
    </w:rPr>
  </w:style>
  <w:style w:type="paragraph" w:styleId="7">
    <w:name w:val="Body Text Indent"/>
    <w:basedOn w:val="1"/>
    <w:link w:val="19"/>
    <w:qFormat/>
    <w:uiPriority w:val="0"/>
    <w:pPr>
      <w:ind w:left="1620"/>
      <w:jc w:val="both"/>
    </w:pPr>
  </w:style>
  <w:style w:type="paragraph" w:styleId="8">
    <w:name w:val="footer"/>
    <w:basedOn w:val="1"/>
    <w:link w:val="27"/>
    <w:unhideWhenUsed/>
    <w:qFormat/>
    <w:uiPriority w:val="99"/>
    <w:pPr>
      <w:tabs>
        <w:tab w:val="center" w:pos="4680"/>
        <w:tab w:val="right" w:pos="9360"/>
      </w:tabs>
      <w:spacing w:after="0" w:line="240" w:lineRule="auto"/>
    </w:pPr>
  </w:style>
  <w:style w:type="paragraph" w:styleId="9">
    <w:name w:val="header"/>
    <w:basedOn w:val="1"/>
    <w:link w:val="26"/>
    <w:unhideWhenUsed/>
    <w:uiPriority w:val="99"/>
    <w:pPr>
      <w:tabs>
        <w:tab w:val="center" w:pos="4680"/>
        <w:tab w:val="right" w:pos="9360"/>
      </w:tabs>
      <w:spacing w:after="0" w:line="240" w:lineRule="auto"/>
    </w:pPr>
  </w:style>
  <w:style w:type="paragraph" w:styleId="10">
    <w:name w:val="Normal (Web)"/>
    <w:basedOn w:val="1"/>
    <w:semiHidden/>
    <w:unhideWhenUsed/>
    <w:qFormat/>
    <w:uiPriority w:val="99"/>
    <w:pPr>
      <w:spacing w:before="100" w:beforeAutospacing="1" w:after="100" w:afterAutospacing="1" w:line="240" w:lineRule="auto"/>
    </w:pPr>
  </w:style>
  <w:style w:type="paragraph" w:styleId="11">
    <w:name w:val="Title"/>
    <w:basedOn w:val="1"/>
    <w:link w:val="22"/>
    <w:qFormat/>
    <w:uiPriority w:val="99"/>
    <w:pPr>
      <w:jc w:val="center"/>
    </w:pPr>
    <w:rPr>
      <w:rFonts w:ascii="Tahoma" w:hAnsi="Tahoma"/>
      <w:b/>
      <w:bCs/>
    </w:rPr>
  </w:style>
  <w:style w:type="character" w:styleId="13">
    <w:name w:val="Hyperlink"/>
    <w:qFormat/>
    <w:uiPriority w:val="0"/>
    <w:rPr>
      <w:color w:val="0000FF"/>
      <w:u w:val="single"/>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6">
    <w:name w:val="Light Shading"/>
    <w:basedOn w:val="14"/>
    <w:qFormat/>
    <w:uiPriority w:val="60"/>
    <w:pPr>
      <w:spacing w:after="0" w:line="240" w:lineRule="auto"/>
    </w:pPr>
    <w:rPr>
      <w:rFonts w:eastAsia="Times New Roman" w:cs="Calibri"/>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pPr>
      <w:rPr>
        <w:rFonts w:cs="Calibri"/>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pPr>
      <w:rPr>
        <w:rFonts w:cs="Calibri"/>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rFonts w:cs="Calibri"/>
        <w:b/>
        <w:bCs/>
      </w:rPr>
    </w:tblStylePr>
    <w:tblStylePr w:type="lastCol">
      <w:rPr>
        <w:rFonts w:cs="Calibri"/>
        <w:b/>
        <w:bCs/>
      </w:rPr>
    </w:tblStylePr>
    <w:tblStylePr w:type="band1Vert">
      <w:rPr>
        <w:rFonts w:cs="Calibri"/>
      </w:rPr>
      <w:tblPr/>
      <w:tcPr>
        <w:tcBorders>
          <w:left w:val="nil"/>
          <w:right w:val="nil"/>
          <w:insideH w:val="nil"/>
          <w:insideV w:val="nil"/>
        </w:tcBorders>
        <w:shd w:val="clear" w:color="auto" w:fill="BFBFBF" w:themeFill="text1" w:themeFillTint="3F"/>
      </w:tcPr>
    </w:tblStylePr>
    <w:tblStylePr w:type="band1Horz">
      <w:rPr>
        <w:rFonts w:cs="Calibri"/>
      </w:rPr>
      <w:tblPr/>
      <w:tcPr>
        <w:tcBorders>
          <w:left w:val="nil"/>
          <w:right w:val="nil"/>
          <w:insideH w:val="nil"/>
          <w:insideV w:val="nil"/>
        </w:tcBorders>
        <w:shd w:val="clear" w:color="auto" w:fill="BFBFBF" w:themeFill="text1" w:themeFillTint="3F"/>
      </w:tcPr>
    </w:tblStylePr>
  </w:style>
  <w:style w:type="character" w:customStyle="1" w:styleId="17">
    <w:name w:val="Heading 2 Char"/>
    <w:link w:val="3"/>
    <w:qFormat/>
    <w:uiPriority w:val="0"/>
    <w:rPr>
      <w:rFonts w:ascii="Tahoma" w:hAnsi="Tahoma" w:eastAsia="Times New Roman" w:cs="Tahoma"/>
      <w:b/>
      <w:bCs/>
      <w:sz w:val="24"/>
      <w:szCs w:val="24"/>
    </w:rPr>
  </w:style>
  <w:style w:type="character" w:customStyle="1" w:styleId="18">
    <w:name w:val="Heading 6 Char"/>
    <w:link w:val="5"/>
    <w:qFormat/>
    <w:uiPriority w:val="0"/>
    <w:rPr>
      <w:rFonts w:ascii="Tahoma" w:hAnsi="Tahoma" w:eastAsia="Times New Roman" w:cs="Tahoma"/>
      <w:b/>
      <w:bCs/>
      <w:sz w:val="32"/>
      <w:szCs w:val="24"/>
    </w:rPr>
  </w:style>
  <w:style w:type="character" w:customStyle="1" w:styleId="19">
    <w:name w:val="Body Text Indent Char"/>
    <w:link w:val="7"/>
    <w:qFormat/>
    <w:uiPriority w:val="0"/>
    <w:rPr>
      <w:rFonts w:ascii="Times New Roman" w:hAnsi="Times New Roman" w:eastAsia="Times New Roman" w:cs="Times New Roman"/>
      <w:sz w:val="24"/>
      <w:szCs w:val="24"/>
    </w:rPr>
  </w:style>
  <w:style w:type="paragraph" w:customStyle="1" w:styleId="20">
    <w:name w:val="List Paragraph1"/>
    <w:basedOn w:val="1"/>
    <w:qFormat/>
    <w:uiPriority w:val="34"/>
    <w:pPr>
      <w:ind w:left="720"/>
    </w:pPr>
  </w:style>
  <w:style w:type="character" w:customStyle="1" w:styleId="21">
    <w:name w:val="Heading 1 Char"/>
    <w:link w:val="2"/>
    <w:qFormat/>
    <w:uiPriority w:val="9"/>
    <w:rPr>
      <w:rFonts w:ascii="Cambria" w:hAnsi="Cambria" w:eastAsia="Times New Roman" w:cs="Times New Roman"/>
      <w:b/>
      <w:bCs/>
      <w:color w:val="365F91"/>
      <w:sz w:val="28"/>
      <w:szCs w:val="28"/>
    </w:rPr>
  </w:style>
  <w:style w:type="character" w:customStyle="1" w:styleId="22">
    <w:name w:val="Title Char"/>
    <w:link w:val="11"/>
    <w:qFormat/>
    <w:uiPriority w:val="99"/>
    <w:rPr>
      <w:rFonts w:ascii="Tahoma" w:hAnsi="Tahoma" w:eastAsia="Times New Roman" w:cs="Tahoma"/>
      <w:b/>
      <w:bCs/>
      <w:sz w:val="24"/>
      <w:szCs w:val="24"/>
    </w:rPr>
  </w:style>
  <w:style w:type="character" w:customStyle="1" w:styleId="23">
    <w:name w:val="Heading 3 Char"/>
    <w:link w:val="4"/>
    <w:qFormat/>
    <w:uiPriority w:val="0"/>
    <w:rPr>
      <w:rFonts w:ascii="Arial" w:hAnsi="Arial" w:eastAsia="Times New Roman"/>
      <w:b/>
      <w:bCs/>
      <w:sz w:val="26"/>
      <w:szCs w:val="26"/>
    </w:rPr>
  </w:style>
  <w:style w:type="character" w:customStyle="1" w:styleId="24">
    <w:name w:val="Balloon Text Char"/>
    <w:basedOn w:val="12"/>
    <w:link w:val="6"/>
    <w:semiHidden/>
    <w:qFormat/>
    <w:uiPriority w:val="99"/>
    <w:rPr>
      <w:rFonts w:ascii="Tahoma" w:hAnsi="Tahoma" w:eastAsia="Times New Roman" w:cs="Tahoma"/>
      <w:sz w:val="16"/>
      <w:szCs w:val="16"/>
      <w:lang w:val="en-US" w:eastAsia="en-US"/>
    </w:rPr>
  </w:style>
  <w:style w:type="paragraph" w:styleId="25">
    <w:name w:val="List Paragraph"/>
    <w:basedOn w:val="1"/>
    <w:link w:val="28"/>
    <w:unhideWhenUsed/>
    <w:qFormat/>
    <w:uiPriority w:val="34"/>
    <w:pPr>
      <w:ind w:left="720"/>
      <w:contextualSpacing/>
    </w:pPr>
  </w:style>
  <w:style w:type="character" w:customStyle="1" w:styleId="26">
    <w:name w:val="Header Char"/>
    <w:basedOn w:val="12"/>
    <w:link w:val="9"/>
    <w:qFormat/>
    <w:uiPriority w:val="99"/>
    <w:rPr>
      <w:rFonts w:ascii="Times New Roman" w:hAnsi="Times New Roman" w:eastAsia="Times New Roman"/>
      <w:sz w:val="24"/>
      <w:szCs w:val="24"/>
    </w:rPr>
  </w:style>
  <w:style w:type="character" w:customStyle="1" w:styleId="27">
    <w:name w:val="Footer Char"/>
    <w:basedOn w:val="12"/>
    <w:link w:val="8"/>
    <w:qFormat/>
    <w:uiPriority w:val="99"/>
    <w:rPr>
      <w:rFonts w:ascii="Times New Roman" w:hAnsi="Times New Roman" w:eastAsia="Times New Roman"/>
      <w:sz w:val="24"/>
      <w:szCs w:val="24"/>
    </w:rPr>
  </w:style>
  <w:style w:type="character" w:customStyle="1" w:styleId="28">
    <w:name w:val="List Paragraph Char"/>
    <w:link w:val="25"/>
    <w:qFormat/>
    <w:locked/>
    <w:uiPriority w:val="34"/>
    <w:rPr>
      <w:rFonts w:ascii="Times New Roman" w:hAnsi="Times New Roman" w:eastAsia="Times New Roman"/>
      <w:sz w:val="24"/>
      <w:szCs w:val="24"/>
    </w:rPr>
  </w:style>
  <w:style w:type="paragraph" w:customStyle="1" w:styleId="29">
    <w:name w:val="Default"/>
    <w:qFormat/>
    <w:uiPriority w:val="0"/>
    <w:pPr>
      <w:autoSpaceDE w:val="0"/>
      <w:autoSpaceDN w:val="0"/>
      <w:adjustRightInd w:val="0"/>
      <w:spacing w:after="0" w:line="240" w:lineRule="auto"/>
    </w:pPr>
    <w:rPr>
      <w:rFonts w:ascii="Tahoma" w:hAnsi="Tahoma" w:eastAsia="MS Mincho" w:cs="Tahoma"/>
      <w:color w:val="000000"/>
      <w:sz w:val="24"/>
      <w:szCs w:val="24"/>
      <w:lang w:val="en-SG" w:eastAsia="ja-JP" w:bidi="ar-SA"/>
    </w:rPr>
  </w:style>
  <w:style w:type="paragraph" w:customStyle="1" w:styleId="30">
    <w:name w:val="xl76"/>
    <w:basedOn w:val="1"/>
    <w:qFormat/>
    <w:uiPriority w:val="0"/>
    <w:pPr>
      <w:pBdr>
        <w:top w:val="single" w:color="auto" w:sz="4" w:space="0"/>
        <w:left w:val="single" w:color="auto" w:sz="4" w:space="0"/>
        <w:right w:val="single" w:color="auto" w:sz="4" w:space="0"/>
      </w:pBdr>
      <w:shd w:val="clear" w:color="000000" w:fill="93CDDD"/>
      <w:spacing w:before="100" w:beforeAutospacing="1" w:after="100" w:afterAutospacing="1" w:line="240" w:lineRule="auto"/>
      <w:jc w:val="center"/>
    </w:pPr>
    <w:rPr>
      <w:rFonts w:ascii="Calibri" w:hAnsi="Calibri"/>
      <w:b/>
      <w:bCs/>
      <w:sz w:val="18"/>
      <w:szCs w:val="18"/>
      <w:lang w:val="id-ID" w:eastAsia="id-ID"/>
    </w:rPr>
  </w:style>
  <w:style w:type="paragraph" w:customStyle="1" w:styleId="31">
    <w:name w:val="CM40"/>
    <w:basedOn w:val="29"/>
    <w:next w:val="29"/>
    <w:qFormat/>
    <w:uiPriority w:val="99"/>
    <w:pPr>
      <w:spacing w:after="375"/>
    </w:pPr>
    <w:rPr>
      <w:color w:val="auto"/>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pemerintahan</Company>
  <Pages>6</Pages>
  <Words>2366</Words>
  <Characters>13490</Characters>
  <Lines>112</Lines>
  <Paragraphs>31</Paragraphs>
  <TotalTime>15</TotalTime>
  <ScaleCrop>false</ScaleCrop>
  <LinksUpToDate>false</LinksUpToDate>
  <CharactersWithSpaces>15825</CharactersWithSpaces>
  <Application>WPS Office_11.2.0.9144_F1E327BC-269C-435d-A152-05C5408002CA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2015-09-10T08:08:00Z</dcterms:created>
  <dc:creator>kantor gubernur</dc:creator>
  <cp:lastModifiedBy>HP</cp:lastModifiedBy>
  <cp:lastPrinted>2020-01-16T03:19:00Z</cp:lastPrinted>
  <dcterms:modified xsi:type="dcterms:W3CDTF">2020-01-20T02:46:01Z</dcterms:modified>
  <dc:title>                                   </dc:title>
  <cp:revision>283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1033-11.2.0.9144</vt:lpwstr>
  </property>
</Properties>
</file>